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2BC0F" w14:textId="3BE174C2" w:rsidR="006D49E3" w:rsidRPr="003B64E6" w:rsidRDefault="006D49E3" w:rsidP="006D49E3">
      <w:pPr>
        <w:jc w:val="right"/>
        <w:rPr>
          <w:rFonts w:ascii="Palatino" w:hAnsi="Palatino"/>
          <w:sz w:val="20"/>
          <w:szCs w:val="20"/>
        </w:rPr>
      </w:pPr>
      <w:r w:rsidRPr="003B64E6">
        <w:rPr>
          <w:rFonts w:ascii="Palatino" w:hAnsi="Palatino"/>
          <w:sz w:val="20"/>
          <w:szCs w:val="20"/>
        </w:rPr>
        <w:t>Communiqué de presse</w:t>
      </w:r>
    </w:p>
    <w:p w14:paraId="72EABC07" w14:textId="0AA469D4" w:rsidR="006D49E3" w:rsidRDefault="00F92E7A" w:rsidP="00FF0ABF">
      <w:pPr>
        <w:jc w:val="right"/>
        <w:rPr>
          <w:rFonts w:ascii="Palatino" w:hAnsi="Palatino"/>
          <w:sz w:val="20"/>
          <w:szCs w:val="20"/>
        </w:rPr>
      </w:pPr>
      <w:r>
        <w:rPr>
          <w:rFonts w:ascii="Palatino" w:hAnsi="Palatino"/>
          <w:sz w:val="20"/>
          <w:szCs w:val="20"/>
        </w:rPr>
        <w:t>Mars</w:t>
      </w:r>
      <w:r w:rsidR="006D49E3" w:rsidRPr="003B64E6">
        <w:rPr>
          <w:rFonts w:ascii="Palatino" w:hAnsi="Palatino"/>
          <w:sz w:val="20"/>
          <w:szCs w:val="20"/>
        </w:rPr>
        <w:t xml:space="preserve"> 2023</w:t>
      </w:r>
    </w:p>
    <w:p w14:paraId="3DE5C89D" w14:textId="77777777" w:rsidR="00FF0ABF" w:rsidRPr="00FF0ABF" w:rsidRDefault="00FF0ABF" w:rsidP="00FF0ABF">
      <w:pPr>
        <w:jc w:val="center"/>
        <w:rPr>
          <w:rFonts w:ascii="Palatino" w:hAnsi="Palatino"/>
          <w:sz w:val="20"/>
          <w:szCs w:val="20"/>
        </w:rPr>
      </w:pPr>
    </w:p>
    <w:p w14:paraId="1E846559" w14:textId="77777777" w:rsidR="009220CC" w:rsidRDefault="00F57B4F" w:rsidP="009220CC">
      <w:pPr>
        <w:pBdr>
          <w:top w:val="single" w:sz="4" w:space="1" w:color="auto"/>
          <w:left w:val="single" w:sz="4" w:space="4" w:color="auto"/>
          <w:bottom w:val="single" w:sz="4" w:space="1" w:color="auto"/>
          <w:right w:val="single" w:sz="4" w:space="4" w:color="auto"/>
        </w:pBdr>
        <w:jc w:val="center"/>
        <w:rPr>
          <w:rFonts w:ascii="Palatino" w:hAnsi="Palatino"/>
          <w:b/>
          <w:bCs/>
        </w:rPr>
      </w:pPr>
      <w:r w:rsidRPr="00F57B4F">
        <w:rPr>
          <w:rFonts w:ascii="Palatino" w:hAnsi="Palatino"/>
          <w:b/>
          <w:bCs/>
        </w:rPr>
        <w:t xml:space="preserve">Livre Blanc </w:t>
      </w:r>
      <w:r>
        <w:rPr>
          <w:rFonts w:ascii="Palatino" w:hAnsi="Palatino"/>
          <w:b/>
          <w:bCs/>
        </w:rPr>
        <w:t>2023 :</w:t>
      </w:r>
      <w:r w:rsidR="009220CC">
        <w:rPr>
          <w:rFonts w:ascii="Palatino" w:hAnsi="Palatino"/>
          <w:b/>
          <w:bCs/>
        </w:rPr>
        <w:t xml:space="preserve"> </w:t>
      </w:r>
      <w:r>
        <w:rPr>
          <w:rFonts w:ascii="Palatino" w:hAnsi="Palatino"/>
          <w:b/>
          <w:bCs/>
        </w:rPr>
        <w:t>une nouvelle édition parf</w:t>
      </w:r>
      <w:r w:rsidR="006F66B5">
        <w:rPr>
          <w:rFonts w:ascii="Palatino" w:hAnsi="Palatino"/>
          <w:b/>
          <w:bCs/>
        </w:rPr>
        <w:t>a</w:t>
      </w:r>
      <w:r>
        <w:rPr>
          <w:rFonts w:ascii="Palatino" w:hAnsi="Palatino"/>
          <w:b/>
          <w:bCs/>
        </w:rPr>
        <w:t>it</w:t>
      </w:r>
      <w:r w:rsidR="006F66B5">
        <w:rPr>
          <w:rFonts w:ascii="Palatino" w:hAnsi="Palatino"/>
          <w:b/>
          <w:bCs/>
        </w:rPr>
        <w:t>e</w:t>
      </w:r>
      <w:r>
        <w:rPr>
          <w:rFonts w:ascii="Palatino" w:hAnsi="Palatino"/>
          <w:b/>
          <w:bCs/>
        </w:rPr>
        <w:t xml:space="preserve">ment en phase </w:t>
      </w:r>
    </w:p>
    <w:p w14:paraId="3383F191" w14:textId="2388ACB1" w:rsidR="006D49E3" w:rsidRPr="00F57B4F" w:rsidRDefault="00312297" w:rsidP="009220CC">
      <w:pPr>
        <w:pBdr>
          <w:top w:val="single" w:sz="4" w:space="1" w:color="auto"/>
          <w:left w:val="single" w:sz="4" w:space="4" w:color="auto"/>
          <w:bottom w:val="single" w:sz="4" w:space="1" w:color="auto"/>
          <w:right w:val="single" w:sz="4" w:space="4" w:color="auto"/>
        </w:pBdr>
        <w:jc w:val="center"/>
        <w:rPr>
          <w:rFonts w:ascii="Palatino" w:hAnsi="Palatino"/>
          <w:b/>
          <w:bCs/>
        </w:rPr>
      </w:pPr>
      <w:proofErr w:type="gramStart"/>
      <w:r>
        <w:rPr>
          <w:rFonts w:ascii="Palatino" w:hAnsi="Palatino"/>
          <w:b/>
          <w:bCs/>
        </w:rPr>
        <w:t>avec</w:t>
      </w:r>
      <w:proofErr w:type="gramEnd"/>
      <w:r>
        <w:rPr>
          <w:rFonts w:ascii="Palatino" w:hAnsi="Palatino"/>
          <w:b/>
          <w:bCs/>
        </w:rPr>
        <w:t xml:space="preserve"> les</w:t>
      </w:r>
      <w:r w:rsidR="00F57B4F">
        <w:rPr>
          <w:rFonts w:ascii="Palatino" w:hAnsi="Palatino"/>
          <w:b/>
          <w:bCs/>
        </w:rPr>
        <w:t xml:space="preserve"> nouveaux défis du bâtiment</w:t>
      </w:r>
      <w:r w:rsidR="009220CC">
        <w:rPr>
          <w:rFonts w:ascii="Palatino" w:hAnsi="Palatino"/>
          <w:b/>
          <w:bCs/>
        </w:rPr>
        <w:t xml:space="preserve"> neuf et à rénover</w:t>
      </w:r>
    </w:p>
    <w:p w14:paraId="7F5CF8CA" w14:textId="67D7245C" w:rsidR="006D49E3" w:rsidRPr="00F92E7A" w:rsidRDefault="006D49E3" w:rsidP="006D49E3">
      <w:pPr>
        <w:jc w:val="both"/>
        <w:rPr>
          <w:rFonts w:ascii="Palatino" w:hAnsi="Palatino"/>
          <w:color w:val="000000" w:themeColor="text1"/>
        </w:rPr>
      </w:pPr>
    </w:p>
    <w:p w14:paraId="2587F568" w14:textId="77777777" w:rsidR="00F92E7A" w:rsidRPr="00EB28F0" w:rsidRDefault="00F92E7A" w:rsidP="00EB28F0">
      <w:pPr>
        <w:pStyle w:val="Paragraphestandard"/>
        <w:suppressAutoHyphens/>
        <w:ind w:left="-284"/>
        <w:jc w:val="both"/>
        <w:rPr>
          <w:rFonts w:ascii="Palatino" w:hAnsi="Palatino" w:cs="Calibri-Bold"/>
          <w:b/>
          <w:bCs/>
          <w:i/>
          <w:spacing w:val="-2"/>
        </w:rPr>
      </w:pPr>
      <w:r w:rsidRPr="00EB28F0">
        <w:rPr>
          <w:rFonts w:ascii="Palatino" w:hAnsi="Palatino" w:cs="Calibri-Bold"/>
          <w:b/>
          <w:bCs/>
          <w:i/>
          <w:spacing w:val="-2"/>
        </w:rPr>
        <w:t>Le Groupe de Travail sur la Qualité de l’Enveloppe du bâtiment (GTQE) animé par Pôle de compétitivité Fibres-</w:t>
      </w:r>
      <w:proofErr w:type="spellStart"/>
      <w:r w:rsidRPr="00EB28F0">
        <w:rPr>
          <w:rFonts w:ascii="Palatino" w:hAnsi="Palatino" w:cs="Calibri-Bold"/>
          <w:b/>
          <w:bCs/>
          <w:i/>
          <w:spacing w:val="-2"/>
        </w:rPr>
        <w:t>Energivie</w:t>
      </w:r>
      <w:proofErr w:type="spellEnd"/>
      <w:r w:rsidRPr="00EB28F0">
        <w:rPr>
          <w:rFonts w:ascii="Palatino" w:hAnsi="Palatino" w:cs="Calibri-Bold"/>
          <w:b/>
          <w:bCs/>
          <w:i/>
          <w:spacing w:val="-2"/>
        </w:rPr>
        <w:t xml:space="preserve">, avait édité en 2018, son Livre Blanc. Un ouvrage de référence exploité comme une véritable boussole tant par la maîtrise d’ouvrage que les institutionnels qui présentait notamment toute l’exhaustivité des conséquences positives (sanitaires, sociales, écologiques, économiques) d’une isolation optimale de l’enveloppe du bâtiment en construction neuve. </w:t>
      </w:r>
    </w:p>
    <w:p w14:paraId="56FB9AAA" w14:textId="77777777" w:rsidR="00FF3A17" w:rsidRPr="00F92E7A" w:rsidRDefault="00FF3A17" w:rsidP="00FF0ABF">
      <w:pPr>
        <w:ind w:left="-284" w:right="-142"/>
        <w:jc w:val="both"/>
        <w:rPr>
          <w:rFonts w:ascii="Palatino" w:hAnsi="Palatino"/>
          <w:color w:val="000000" w:themeColor="text1"/>
        </w:rPr>
      </w:pPr>
    </w:p>
    <w:p w14:paraId="123DECCA" w14:textId="77777777" w:rsidR="00EB28F0" w:rsidRPr="006C64FC" w:rsidRDefault="00EB28F0" w:rsidP="006C64FC">
      <w:pPr>
        <w:pStyle w:val="Paragraphestandard"/>
        <w:suppressAutoHyphens/>
        <w:ind w:left="-284"/>
        <w:jc w:val="both"/>
        <w:rPr>
          <w:rFonts w:ascii="Palatino" w:hAnsi="Palatino" w:cs="Calibri"/>
          <w:spacing w:val="2"/>
        </w:rPr>
      </w:pPr>
      <w:r w:rsidRPr="006C64FC">
        <w:rPr>
          <w:rFonts w:ascii="Palatino" w:hAnsi="Palatino" w:cs="Calibri"/>
          <w:spacing w:val="2"/>
        </w:rPr>
        <w:t xml:space="preserve">Un axe jugé essentiel aussi pour l’atteinte des objectifs de baisse de la consommation d’énergie finale, de réduction drastique des émissions de gaz à effet de serre ou encore de neutralité carbone. Rappelons à ce titre que 40 % de la consommation d’énergie de l’Union européenne proviennent des bâtiments ainsi que 36 % des émissions de gaz à effet de serre qui </w:t>
      </w:r>
      <w:proofErr w:type="gramStart"/>
      <w:r w:rsidRPr="006C64FC">
        <w:rPr>
          <w:rFonts w:ascii="Palatino" w:hAnsi="Palatino" w:cs="Calibri"/>
          <w:spacing w:val="2"/>
        </w:rPr>
        <w:t>sont</w:t>
      </w:r>
      <w:proofErr w:type="gramEnd"/>
      <w:r w:rsidRPr="006C64FC">
        <w:rPr>
          <w:rFonts w:ascii="Palatino" w:hAnsi="Palatino" w:cs="Calibri"/>
          <w:spacing w:val="2"/>
        </w:rPr>
        <w:t xml:space="preserve"> liées à l’énergie. Pour la France, les émissions du bâtiment représenteraient désormais 18 % des émissions territoriales (en baisse notable depuis 2015, elles demeurent pourtant à un niveau très élevé). Et le Groupe de Travail met aussi en lumière dans le nouveau Livre Blanc, les résultats de la dernière étude du Buildings Performance Institute Europe, qui permet de démontrer que la rénovation complète des bâtiments résidentiels de l’UE entraînerait une réduction de 44 % de la demande d’énergie pour le chauffage des bâtiments, soit une économie de 777 TWh.</w:t>
      </w:r>
    </w:p>
    <w:p w14:paraId="3E67431A" w14:textId="025A4918" w:rsidR="00834B54" w:rsidRPr="00F92E7A" w:rsidRDefault="00834B54" w:rsidP="004D6214">
      <w:pPr>
        <w:pStyle w:val="Default"/>
        <w:ind w:left="-284" w:right="-142"/>
        <w:jc w:val="both"/>
        <w:rPr>
          <w:rFonts w:ascii="Palatino" w:hAnsi="Palatino"/>
          <w:color w:val="000000" w:themeColor="text1"/>
        </w:rPr>
      </w:pPr>
    </w:p>
    <w:p w14:paraId="688FC562" w14:textId="77777777" w:rsidR="000537E5" w:rsidRPr="00F92E7A" w:rsidRDefault="000537E5" w:rsidP="004D6214">
      <w:pPr>
        <w:pStyle w:val="Default"/>
        <w:ind w:left="-284" w:right="-142"/>
        <w:jc w:val="both"/>
        <w:rPr>
          <w:rFonts w:ascii="Palatino" w:hAnsi="Palatino"/>
          <w:i/>
          <w:iCs/>
          <w:color w:val="000000" w:themeColor="text1"/>
          <w:u w:val="single"/>
        </w:rPr>
      </w:pPr>
    </w:p>
    <w:p w14:paraId="6F847951" w14:textId="77777777" w:rsidR="006C64FC" w:rsidRPr="00E1595B" w:rsidRDefault="006C64FC" w:rsidP="00E1595B">
      <w:pPr>
        <w:pStyle w:val="Paragraphestandard"/>
        <w:suppressAutoHyphens/>
        <w:ind w:left="-284"/>
        <w:rPr>
          <w:rFonts w:ascii="Palatino" w:hAnsi="Palatino" w:cs="Calibri"/>
        </w:rPr>
      </w:pPr>
      <w:r w:rsidRPr="00E1595B">
        <w:rPr>
          <w:rFonts w:ascii="Palatino" w:hAnsi="Palatino" w:cs="Calibri-Bold"/>
          <w:b/>
          <w:bCs/>
        </w:rPr>
        <w:t xml:space="preserve">Pour Philippe </w:t>
      </w:r>
      <w:r w:rsidRPr="00E1595B">
        <w:rPr>
          <w:rFonts w:ascii="Palatino" w:hAnsi="Palatino" w:cs="Calibri-Bold"/>
          <w:b/>
          <w:bCs/>
          <w:caps/>
        </w:rPr>
        <w:t>Boussemart</w:t>
      </w:r>
      <w:r w:rsidRPr="00E1595B">
        <w:rPr>
          <w:rFonts w:ascii="Palatino" w:hAnsi="Palatino" w:cs="Calibri-Bold"/>
          <w:b/>
          <w:bCs/>
        </w:rPr>
        <w:t xml:space="preserve">, </w:t>
      </w:r>
      <w:r w:rsidRPr="00E1595B">
        <w:rPr>
          <w:rFonts w:ascii="Palatino" w:hAnsi="Palatino" w:cs="Calibri"/>
        </w:rPr>
        <w:t xml:space="preserve"> membre du Groupe de Travail :</w:t>
      </w:r>
    </w:p>
    <w:p w14:paraId="482F1854" w14:textId="77777777" w:rsidR="006C64FC" w:rsidRPr="00E1595B" w:rsidRDefault="006C64FC" w:rsidP="00E1595B">
      <w:pPr>
        <w:pStyle w:val="Paragraphestandard"/>
        <w:suppressAutoHyphens/>
        <w:spacing w:before="57"/>
        <w:ind w:left="-284"/>
        <w:jc w:val="both"/>
        <w:rPr>
          <w:rFonts w:ascii="Palatino" w:hAnsi="Palatino" w:cs="Calibri-Italic"/>
          <w:i/>
          <w:iCs/>
        </w:rPr>
      </w:pPr>
      <w:r w:rsidRPr="00E1595B">
        <w:rPr>
          <w:rFonts w:ascii="Palatino" w:hAnsi="Palatino" w:cs="Calibri-Italic"/>
          <w:i/>
          <w:iCs/>
        </w:rPr>
        <w:t xml:space="preserve">« </w:t>
      </w:r>
      <w:proofErr w:type="spellStart"/>
      <w:r w:rsidRPr="00E1595B">
        <w:rPr>
          <w:rFonts w:ascii="Palatino" w:hAnsi="Palatino" w:cs="Calibri-Italic"/>
          <w:i/>
          <w:iCs/>
        </w:rPr>
        <w:t>Décarboner</w:t>
      </w:r>
      <w:proofErr w:type="spellEnd"/>
      <w:r w:rsidRPr="00E1595B">
        <w:rPr>
          <w:rFonts w:ascii="Palatino" w:hAnsi="Palatino" w:cs="Calibri-Italic"/>
          <w:i/>
          <w:iCs/>
        </w:rPr>
        <w:t xml:space="preserve"> les bâtiments est d’autant plus urgent que la situation internationale actuelle a mis en exergue les limites de nos modèles dépendant de l’énergie étrangère et amplifié la précarité énergétique. La hausse des prix de l’énergie couplée à une forte inflation, </w:t>
      </w:r>
      <w:proofErr w:type="gramStart"/>
      <w:r w:rsidRPr="00E1595B">
        <w:rPr>
          <w:rFonts w:ascii="Palatino" w:hAnsi="Palatino" w:cs="Calibri-Italic"/>
          <w:i/>
          <w:iCs/>
        </w:rPr>
        <w:t>forcent</w:t>
      </w:r>
      <w:proofErr w:type="gramEnd"/>
      <w:r w:rsidRPr="00E1595B">
        <w:rPr>
          <w:rFonts w:ascii="Palatino" w:hAnsi="Palatino" w:cs="Calibri-Italic"/>
          <w:i/>
          <w:iCs/>
        </w:rPr>
        <w:t xml:space="preserve"> les européens à faire des choix pour chauffer leur logement, en particulier ceux qui ont recours aux énergies fossiles. Des mesures structurelles fortes sont plus que jamais attendues. Malheureusement, les dernières tentatives législatives et règlementaires n’ont pas permis d’enclencher une véritable dynamique. Si la loi Climat et Résilience et la Réglementation environnementale 2020 ont marqué des avancées, les mesures adoptées demeurent insuffisantes pour endiguer la crise climatique, énergétique et sociale. Aujourd’hui, 86% des travaux engagés ne concernent que de simples gestes de rénovation et ne sont pas encadrés par une méthodologie compatible avec la performance finale recherchée.  »</w:t>
      </w:r>
    </w:p>
    <w:p w14:paraId="5E13923E" w14:textId="77777777" w:rsidR="00834B54" w:rsidRPr="00F92E7A" w:rsidRDefault="00834B54" w:rsidP="004D6214">
      <w:pPr>
        <w:ind w:left="-284" w:right="-142"/>
        <w:jc w:val="both"/>
        <w:rPr>
          <w:rFonts w:ascii="Palatino" w:hAnsi="Palatino"/>
          <w:color w:val="000000" w:themeColor="text1"/>
        </w:rPr>
      </w:pPr>
    </w:p>
    <w:p w14:paraId="0DA2692C" w14:textId="77777777" w:rsidR="00027642" w:rsidRDefault="00027642" w:rsidP="008B50C1">
      <w:pPr>
        <w:widowControl w:val="0"/>
        <w:suppressAutoHyphens/>
        <w:autoSpaceDE w:val="0"/>
        <w:autoSpaceDN w:val="0"/>
        <w:adjustRightInd w:val="0"/>
        <w:spacing w:before="113" w:line="288" w:lineRule="auto"/>
        <w:ind w:left="-284"/>
        <w:jc w:val="both"/>
        <w:textAlignment w:val="center"/>
        <w:rPr>
          <w:rFonts w:ascii="Palatino" w:eastAsiaTheme="minorHAnsi" w:hAnsi="Palatino" w:cs="Calibri-Bold"/>
          <w:b/>
          <w:bCs/>
          <w:color w:val="000000"/>
          <w:spacing w:val="4"/>
          <w:lang w:eastAsia="en-US"/>
        </w:rPr>
      </w:pPr>
      <w:r>
        <w:rPr>
          <w:rFonts w:ascii="Palatino" w:eastAsiaTheme="minorHAnsi" w:hAnsi="Palatino" w:cs="Calibri-Bold"/>
          <w:b/>
          <w:bCs/>
          <w:color w:val="000000"/>
          <w:spacing w:val="4"/>
          <w:lang w:eastAsia="en-US"/>
        </w:rPr>
        <w:t>Une voie vertueuse</w:t>
      </w:r>
    </w:p>
    <w:p w14:paraId="09A7EF91" w14:textId="2AA97841" w:rsidR="00F842B4" w:rsidRPr="00F842B4" w:rsidRDefault="00F842B4" w:rsidP="008B50C1">
      <w:pPr>
        <w:widowControl w:val="0"/>
        <w:suppressAutoHyphens/>
        <w:autoSpaceDE w:val="0"/>
        <w:autoSpaceDN w:val="0"/>
        <w:adjustRightInd w:val="0"/>
        <w:spacing w:before="113" w:line="288" w:lineRule="auto"/>
        <w:ind w:left="-284"/>
        <w:jc w:val="both"/>
        <w:textAlignment w:val="center"/>
        <w:rPr>
          <w:rFonts w:ascii="Palatino" w:eastAsiaTheme="minorHAnsi" w:hAnsi="Palatino" w:cs="Calibri"/>
          <w:color w:val="000000"/>
          <w:spacing w:val="4"/>
          <w:lang w:eastAsia="en-US"/>
        </w:rPr>
      </w:pPr>
      <w:r w:rsidRPr="00F842B4">
        <w:rPr>
          <w:rFonts w:ascii="Palatino" w:eastAsiaTheme="minorHAnsi" w:hAnsi="Palatino" w:cs="Calibri-Bold"/>
          <w:b/>
          <w:bCs/>
          <w:color w:val="000000"/>
          <w:spacing w:val="4"/>
          <w:lang w:eastAsia="en-US"/>
        </w:rPr>
        <w:t xml:space="preserve">Pour 2023, le Groupe de Travail persiste dans cette voie vertueuse et dévoile une nouvelle édition riche de 40 pages, parfaitement d’actualité face aux nouveaux enjeux, qu’il s’agisse d’ailleurs autant de construction neuve que de rénovation. </w:t>
      </w:r>
    </w:p>
    <w:p w14:paraId="0569C22F" w14:textId="0A9E4F8B" w:rsidR="00FF3A17" w:rsidRDefault="00F842B4" w:rsidP="008B50C1">
      <w:pPr>
        <w:ind w:left="-284"/>
        <w:jc w:val="both"/>
        <w:rPr>
          <w:rFonts w:ascii="Palatino" w:eastAsiaTheme="minorHAnsi" w:hAnsi="Palatino" w:cs="Calibri"/>
          <w:color w:val="000000"/>
          <w:spacing w:val="4"/>
          <w:lang w:eastAsia="en-US"/>
        </w:rPr>
      </w:pPr>
      <w:r w:rsidRPr="008B50C1">
        <w:rPr>
          <w:rFonts w:ascii="Palatino" w:eastAsiaTheme="minorHAnsi" w:hAnsi="Palatino" w:cs="Calibri"/>
          <w:color w:val="000000"/>
          <w:spacing w:val="4"/>
          <w:lang w:eastAsia="en-US"/>
        </w:rPr>
        <w:t xml:space="preserve">Une mise à jour indispensable où l’on constate également que des points d’amélioration </w:t>
      </w:r>
      <w:proofErr w:type="gramStart"/>
      <w:r w:rsidRPr="008B50C1">
        <w:rPr>
          <w:rFonts w:ascii="Palatino" w:eastAsiaTheme="minorHAnsi" w:hAnsi="Palatino" w:cs="Calibri"/>
          <w:color w:val="000000"/>
          <w:spacing w:val="4"/>
          <w:lang w:eastAsia="en-US"/>
        </w:rPr>
        <w:t>perdurent</w:t>
      </w:r>
      <w:proofErr w:type="gramEnd"/>
      <w:r w:rsidRPr="008B50C1">
        <w:rPr>
          <w:rFonts w:ascii="Palatino" w:eastAsiaTheme="minorHAnsi" w:hAnsi="Palatino" w:cs="Calibri"/>
          <w:color w:val="000000"/>
          <w:spacing w:val="4"/>
          <w:lang w:eastAsia="en-US"/>
        </w:rPr>
        <w:t xml:space="preserve"> toujours, notamment en ce qui concerne les performances énergétiques réelles vs les chiffres théoriques, tant au niveau de l’enveloppe du bâtiment que des équipements techniques. Le GTQE milite ainsi activement pour introduire une garantie de résultats grâce au commissionnement se traduisant par une vérification systématique et complète de la performance thermique de la réalisation (enveloppe et équipements). Un sujet qui revêt aussi toute son importance face à l’importance de la massification à mener pour la rénovation du parc des bâtiments français.</w:t>
      </w:r>
    </w:p>
    <w:p w14:paraId="4AF8620C" w14:textId="77777777" w:rsidR="002C0CEE" w:rsidRPr="008B50C1" w:rsidRDefault="002C0CEE" w:rsidP="008B50C1">
      <w:pPr>
        <w:ind w:left="-284"/>
        <w:jc w:val="both"/>
        <w:rPr>
          <w:rFonts w:ascii="Palatino" w:hAnsi="Palatino"/>
          <w:color w:val="000000" w:themeColor="text1"/>
        </w:rPr>
      </w:pPr>
    </w:p>
    <w:p w14:paraId="734C394E" w14:textId="77777777" w:rsidR="00FF3A17" w:rsidRPr="00F92E7A" w:rsidRDefault="00FF3A17" w:rsidP="00FF0ABF">
      <w:pPr>
        <w:ind w:left="-284" w:right="-142"/>
        <w:jc w:val="both"/>
        <w:rPr>
          <w:rFonts w:ascii="Palatino" w:hAnsi="Palatino"/>
          <w:color w:val="000000" w:themeColor="text1"/>
        </w:rPr>
      </w:pPr>
    </w:p>
    <w:p w14:paraId="3551D424" w14:textId="77777777" w:rsidR="00B432DE" w:rsidRDefault="00B432DE" w:rsidP="002C0CEE">
      <w:pPr>
        <w:widowControl w:val="0"/>
        <w:suppressAutoHyphens/>
        <w:autoSpaceDE w:val="0"/>
        <w:autoSpaceDN w:val="0"/>
        <w:adjustRightInd w:val="0"/>
        <w:spacing w:before="113" w:line="288" w:lineRule="auto"/>
        <w:ind w:left="-284"/>
        <w:jc w:val="both"/>
        <w:textAlignment w:val="center"/>
        <w:rPr>
          <w:rFonts w:ascii="Palatino" w:eastAsiaTheme="minorHAnsi" w:hAnsi="Palatino" w:cs="Calibri-Bold"/>
          <w:b/>
          <w:bCs/>
          <w:color w:val="000000"/>
          <w:lang w:eastAsia="en-US"/>
        </w:rPr>
      </w:pPr>
    </w:p>
    <w:p w14:paraId="5ECA3A33" w14:textId="77777777" w:rsidR="002C0CEE" w:rsidRPr="002C0CEE" w:rsidRDefault="002C0CEE" w:rsidP="002C0CEE">
      <w:pPr>
        <w:widowControl w:val="0"/>
        <w:suppressAutoHyphens/>
        <w:autoSpaceDE w:val="0"/>
        <w:autoSpaceDN w:val="0"/>
        <w:adjustRightInd w:val="0"/>
        <w:spacing w:before="113" w:line="288" w:lineRule="auto"/>
        <w:ind w:left="-284"/>
        <w:jc w:val="both"/>
        <w:textAlignment w:val="center"/>
        <w:rPr>
          <w:rFonts w:ascii="Palatino" w:eastAsiaTheme="minorHAnsi" w:hAnsi="Palatino" w:cs="Calibri"/>
          <w:color w:val="000000"/>
          <w:lang w:eastAsia="en-US"/>
        </w:rPr>
      </w:pPr>
      <w:r w:rsidRPr="002C0CEE">
        <w:rPr>
          <w:rFonts w:ascii="Palatino" w:eastAsiaTheme="minorHAnsi" w:hAnsi="Palatino" w:cs="Calibri-Bold"/>
          <w:b/>
          <w:bCs/>
          <w:color w:val="000000"/>
          <w:lang w:eastAsia="en-US"/>
        </w:rPr>
        <w:t xml:space="preserve">Pour David </w:t>
      </w:r>
      <w:r w:rsidRPr="002C0CEE">
        <w:rPr>
          <w:rFonts w:ascii="Palatino" w:eastAsiaTheme="minorHAnsi" w:hAnsi="Palatino" w:cs="Calibri-Bold"/>
          <w:b/>
          <w:bCs/>
          <w:caps/>
          <w:color w:val="000000"/>
          <w:lang w:eastAsia="en-US"/>
        </w:rPr>
        <w:t>Corgier</w:t>
      </w:r>
      <w:r w:rsidRPr="002C0CEE">
        <w:rPr>
          <w:rFonts w:ascii="Palatino" w:eastAsiaTheme="minorHAnsi" w:hAnsi="Palatino" w:cs="Calibri-Bold"/>
          <w:b/>
          <w:bCs/>
          <w:color w:val="000000"/>
          <w:lang w:eastAsia="en-US"/>
        </w:rPr>
        <w:t xml:space="preserve"> : </w:t>
      </w:r>
      <w:r w:rsidRPr="002C0CEE">
        <w:rPr>
          <w:rFonts w:ascii="Palatino" w:eastAsiaTheme="minorHAnsi" w:hAnsi="Palatino" w:cs="Calibri"/>
          <w:color w:val="000000"/>
          <w:lang w:eastAsia="en-US"/>
        </w:rPr>
        <w:t>membre du Groupe de Travail :</w:t>
      </w:r>
    </w:p>
    <w:p w14:paraId="0F27A9B2" w14:textId="77777777" w:rsidR="002C0CEE" w:rsidRPr="002C0CEE" w:rsidRDefault="002C0CEE" w:rsidP="002C0CEE">
      <w:pPr>
        <w:widowControl w:val="0"/>
        <w:suppressAutoHyphens/>
        <w:autoSpaceDE w:val="0"/>
        <w:autoSpaceDN w:val="0"/>
        <w:adjustRightInd w:val="0"/>
        <w:spacing w:before="113" w:line="288" w:lineRule="auto"/>
        <w:ind w:left="-284"/>
        <w:jc w:val="both"/>
        <w:textAlignment w:val="center"/>
        <w:rPr>
          <w:rFonts w:ascii="Palatino" w:eastAsiaTheme="minorHAnsi" w:hAnsi="Palatino" w:cs="Calibri-Italic"/>
          <w:i/>
          <w:iCs/>
          <w:color w:val="000000"/>
          <w:spacing w:val="4"/>
          <w:lang w:eastAsia="en-US"/>
        </w:rPr>
      </w:pPr>
      <w:r w:rsidRPr="002C0CEE">
        <w:rPr>
          <w:rFonts w:ascii="Palatino" w:eastAsiaTheme="minorHAnsi" w:hAnsi="Palatino" w:cs="Calibri-Bold"/>
          <w:b/>
          <w:bCs/>
          <w:color w:val="000000"/>
          <w:spacing w:val="4"/>
          <w:lang w:eastAsia="en-US"/>
        </w:rPr>
        <w:t xml:space="preserve"> </w:t>
      </w:r>
      <w:r w:rsidRPr="002C0CEE">
        <w:rPr>
          <w:rFonts w:ascii="Palatino" w:eastAsiaTheme="minorHAnsi" w:hAnsi="Palatino" w:cs="Calibri"/>
          <w:color w:val="000000"/>
          <w:spacing w:val="4"/>
          <w:lang w:eastAsia="en-US"/>
        </w:rPr>
        <w:t xml:space="preserve">« </w:t>
      </w:r>
      <w:r w:rsidRPr="002C0CEE">
        <w:rPr>
          <w:rFonts w:ascii="Palatino" w:eastAsiaTheme="minorHAnsi" w:hAnsi="Palatino" w:cs="Calibri-Italic"/>
          <w:i/>
          <w:iCs/>
          <w:color w:val="000000"/>
          <w:spacing w:val="4"/>
          <w:lang w:eastAsia="en-US"/>
        </w:rPr>
        <w:t xml:space="preserve">La transition énergétique des bâtiments est un défi majeur pour la filière du bâtiment qui se doit de concevoir et réaliser des bâtiments conformes aux ambitions affichées. </w:t>
      </w:r>
    </w:p>
    <w:p w14:paraId="7FA5CC1B" w14:textId="4EDB52C8" w:rsidR="002C0CEE" w:rsidRPr="002C0CEE" w:rsidRDefault="002C0CEE" w:rsidP="002C0CEE">
      <w:pPr>
        <w:widowControl w:val="0"/>
        <w:suppressAutoHyphens/>
        <w:autoSpaceDE w:val="0"/>
        <w:autoSpaceDN w:val="0"/>
        <w:adjustRightInd w:val="0"/>
        <w:spacing w:before="57" w:line="288" w:lineRule="auto"/>
        <w:ind w:left="-284"/>
        <w:jc w:val="both"/>
        <w:textAlignment w:val="center"/>
        <w:rPr>
          <w:rFonts w:ascii="Palatino" w:eastAsiaTheme="minorHAnsi" w:hAnsi="Palatino" w:cs="Calibri-Italic"/>
          <w:i/>
          <w:iCs/>
          <w:color w:val="000000"/>
          <w:spacing w:val="4"/>
          <w:lang w:eastAsia="en-US"/>
        </w:rPr>
      </w:pPr>
      <w:r w:rsidRPr="002C0CEE">
        <w:rPr>
          <w:rFonts w:ascii="Palatino" w:eastAsiaTheme="minorHAnsi" w:hAnsi="Palatino" w:cs="Calibri-Italic"/>
          <w:i/>
          <w:iCs/>
          <w:color w:val="000000"/>
          <w:spacing w:val="4"/>
          <w:lang w:eastAsia="en-US"/>
        </w:rPr>
        <w:t>Conformément aux bonnes pratiques, chaque conception de bâtiment se doit de débuter par une phase de simulation représentative de la réalité future du projet pour garantir la performance énergétique d’un bâtiment à sa livraison. Durant ces derniers mois, nous avons mené des études afin de mesurer les éventuelles divergences entre les performances énergétiques simulées lors des phases de conception et les performances réelles</w:t>
      </w:r>
      <w:r w:rsidR="009A2BFF">
        <w:rPr>
          <w:rFonts w:ascii="Palatino" w:eastAsiaTheme="minorHAnsi" w:hAnsi="Palatino" w:cs="Calibri-Italic"/>
          <w:i/>
          <w:iCs/>
          <w:color w:val="000000"/>
          <w:spacing w:val="4"/>
          <w:lang w:eastAsia="en-US"/>
        </w:rPr>
        <w:t>. Cet exercice a mis en lumière</w:t>
      </w:r>
      <w:r w:rsidRPr="002C0CEE">
        <w:rPr>
          <w:rFonts w:ascii="Palatino" w:eastAsiaTheme="minorHAnsi" w:hAnsi="Palatino" w:cs="Calibri-Italic"/>
          <w:i/>
          <w:iCs/>
          <w:color w:val="000000"/>
          <w:spacing w:val="4"/>
          <w:lang w:eastAsia="en-US"/>
        </w:rPr>
        <w:t xml:space="preserve"> des écarts importants entre les performances estimées en amont par la simulation et les résultats </w:t>
      </w:r>
      <w:r w:rsidR="009A2BFF">
        <w:rPr>
          <w:rFonts w:ascii="Palatino" w:eastAsiaTheme="minorHAnsi" w:hAnsi="Palatino" w:cs="Calibri-Italic"/>
          <w:i/>
          <w:iCs/>
          <w:color w:val="000000"/>
          <w:spacing w:val="4"/>
          <w:lang w:eastAsia="en-US"/>
        </w:rPr>
        <w:t>réels en exploitation. Ceci est notamment observé</w:t>
      </w:r>
      <w:r w:rsidRPr="002C0CEE">
        <w:rPr>
          <w:rFonts w:ascii="Palatino" w:eastAsiaTheme="minorHAnsi" w:hAnsi="Palatino" w:cs="Calibri-Italic"/>
          <w:i/>
          <w:iCs/>
          <w:color w:val="000000"/>
          <w:spacing w:val="4"/>
          <w:lang w:eastAsia="en-US"/>
        </w:rPr>
        <w:t xml:space="preserve"> pour les besoins de chauffage de logements collectifs qui peuvent être</w:t>
      </w:r>
      <w:r w:rsidR="009A2BFF">
        <w:rPr>
          <w:rFonts w:ascii="Palatino" w:eastAsiaTheme="minorHAnsi" w:hAnsi="Palatino" w:cs="Calibri-Italic"/>
          <w:i/>
          <w:iCs/>
          <w:color w:val="000000"/>
          <w:spacing w:val="4"/>
          <w:lang w:eastAsia="en-US"/>
        </w:rPr>
        <w:t xml:space="preserve"> jusqu’à deux fois plus mauvai</w:t>
      </w:r>
      <w:r w:rsidRPr="002C0CEE">
        <w:rPr>
          <w:rFonts w:ascii="Palatino" w:eastAsiaTheme="minorHAnsi" w:hAnsi="Palatino" w:cs="Calibri-Italic"/>
          <w:i/>
          <w:iCs/>
          <w:color w:val="000000"/>
          <w:spacing w:val="4"/>
          <w:lang w:eastAsia="en-US"/>
        </w:rPr>
        <w:t>s</w:t>
      </w:r>
      <w:r w:rsidR="009A2BFF">
        <w:rPr>
          <w:rFonts w:ascii="Palatino" w:eastAsiaTheme="minorHAnsi" w:hAnsi="Palatino" w:cs="Calibri-Italic"/>
          <w:i/>
          <w:iCs/>
          <w:color w:val="000000"/>
          <w:spacing w:val="4"/>
          <w:lang w:eastAsia="en-US"/>
        </w:rPr>
        <w:t>es</w:t>
      </w:r>
      <w:r w:rsidRPr="002C0CEE">
        <w:rPr>
          <w:rFonts w:ascii="Palatino" w:eastAsiaTheme="minorHAnsi" w:hAnsi="Palatino" w:cs="Calibri-Italic"/>
          <w:i/>
          <w:iCs/>
          <w:color w:val="000000"/>
          <w:spacing w:val="4"/>
          <w:lang w:eastAsia="en-US"/>
        </w:rPr>
        <w:t xml:space="preserve"> que celles obtenues lors des simulations!</w:t>
      </w:r>
    </w:p>
    <w:p w14:paraId="111B14B4" w14:textId="15809722" w:rsidR="005C4736" w:rsidRPr="004137C1" w:rsidRDefault="002C0CEE" w:rsidP="004137C1">
      <w:pPr>
        <w:widowControl w:val="0"/>
        <w:suppressAutoHyphens/>
        <w:autoSpaceDE w:val="0"/>
        <w:autoSpaceDN w:val="0"/>
        <w:adjustRightInd w:val="0"/>
        <w:spacing w:before="113" w:line="288" w:lineRule="auto"/>
        <w:ind w:left="-284"/>
        <w:jc w:val="both"/>
        <w:textAlignment w:val="center"/>
        <w:rPr>
          <w:rFonts w:ascii="Palatino" w:eastAsiaTheme="minorHAnsi" w:hAnsi="Palatino" w:cs="Calibri"/>
          <w:color w:val="000000"/>
          <w:spacing w:val="4"/>
          <w:lang w:eastAsia="en-US"/>
        </w:rPr>
      </w:pPr>
      <w:r w:rsidRPr="002C0CEE">
        <w:rPr>
          <w:rFonts w:ascii="Palatino" w:eastAsiaTheme="minorHAnsi" w:hAnsi="Palatino" w:cs="Calibri-Italic"/>
          <w:i/>
          <w:iCs/>
          <w:color w:val="000000"/>
          <w:spacing w:val="4"/>
          <w:lang w:eastAsia="en-US"/>
        </w:rPr>
        <w:t xml:space="preserve">Ce constat démontre la nécessité de faire évoluer les pratiques théoriques pour assurer la conception et construction de bâtiments réellement performants. La rupture avec les pratiques actuelles est incontournable pour réaliser la transition énergétique du bâtiment. </w:t>
      </w:r>
      <w:proofErr w:type="gramStart"/>
      <w:r w:rsidRPr="002C0CEE">
        <w:rPr>
          <w:rFonts w:ascii="Palatino" w:eastAsiaTheme="minorHAnsi" w:hAnsi="Palatino" w:cs="Calibri-Italic"/>
          <w:i/>
          <w:iCs/>
          <w:color w:val="000000"/>
          <w:spacing w:val="4"/>
          <w:lang w:eastAsia="en-US"/>
        </w:rPr>
        <w:t>Cette</w:t>
      </w:r>
      <w:proofErr w:type="gramEnd"/>
      <w:r w:rsidRPr="002C0CEE">
        <w:rPr>
          <w:rFonts w:ascii="Palatino" w:eastAsiaTheme="minorHAnsi" w:hAnsi="Palatino" w:cs="Calibri-Italic"/>
          <w:i/>
          <w:iCs/>
          <w:color w:val="000000"/>
          <w:spacing w:val="4"/>
          <w:lang w:eastAsia="en-US"/>
        </w:rPr>
        <w:t xml:space="preserve"> nécessaire mutation des métiers peut être accélérée grâce à l’usage de solutions numériques pour mutualiser les outils et les ressources, en neuf comme en rénovation. Ce type de mutualisation, en cours d’expérimentation sur plusieurs territoires, est un sujet d’avenir dont toute la filière doit pouvoir tirer les bénéfices.</w:t>
      </w:r>
      <w:r w:rsidRPr="002C0CEE">
        <w:rPr>
          <w:rFonts w:ascii="Palatino" w:eastAsiaTheme="minorHAnsi" w:hAnsi="Palatino" w:cs="Calibri"/>
          <w:color w:val="000000"/>
          <w:spacing w:val="4"/>
          <w:lang w:eastAsia="en-US"/>
        </w:rPr>
        <w:t xml:space="preserve"> »</w:t>
      </w:r>
    </w:p>
    <w:p w14:paraId="6D951A01" w14:textId="0C137EDE" w:rsidR="00FF3A17" w:rsidRPr="00F92E7A" w:rsidRDefault="00FF3A17" w:rsidP="004D6214">
      <w:pPr>
        <w:ind w:left="-284" w:right="-142"/>
        <w:jc w:val="both"/>
        <w:rPr>
          <w:rFonts w:ascii="Palatino" w:hAnsi="Palatino"/>
          <w:color w:val="000000" w:themeColor="text1"/>
        </w:rPr>
      </w:pPr>
    </w:p>
    <w:p w14:paraId="62F6D0B4" w14:textId="77777777" w:rsidR="00FF3A17" w:rsidRPr="00F92E7A" w:rsidRDefault="00FF3A17" w:rsidP="004D6214">
      <w:pPr>
        <w:ind w:left="-284" w:right="-142"/>
        <w:jc w:val="both"/>
        <w:rPr>
          <w:rFonts w:ascii="Palatino" w:hAnsi="Palatino"/>
          <w:color w:val="000000" w:themeColor="text1"/>
        </w:rPr>
      </w:pPr>
    </w:p>
    <w:p w14:paraId="0FCF3DD6" w14:textId="77777777" w:rsidR="004137C1" w:rsidRPr="004137C1" w:rsidRDefault="004137C1" w:rsidP="004137C1">
      <w:pPr>
        <w:widowControl w:val="0"/>
        <w:suppressAutoHyphens/>
        <w:autoSpaceDE w:val="0"/>
        <w:autoSpaceDN w:val="0"/>
        <w:adjustRightInd w:val="0"/>
        <w:spacing w:before="113" w:line="288" w:lineRule="auto"/>
        <w:ind w:left="-284"/>
        <w:jc w:val="both"/>
        <w:textAlignment w:val="center"/>
        <w:rPr>
          <w:rFonts w:ascii="Palatino" w:eastAsiaTheme="minorHAnsi" w:hAnsi="Palatino" w:cs="Calibri"/>
          <w:color w:val="000000"/>
          <w:spacing w:val="2"/>
          <w:lang w:eastAsia="en-US"/>
        </w:rPr>
      </w:pPr>
      <w:r w:rsidRPr="004137C1">
        <w:rPr>
          <w:rFonts w:ascii="Palatino" w:eastAsiaTheme="minorHAnsi" w:hAnsi="Palatino" w:cs="Calibri-Bold"/>
          <w:b/>
          <w:bCs/>
          <w:color w:val="000000"/>
          <w:spacing w:val="2"/>
          <w:lang w:eastAsia="en-US"/>
        </w:rPr>
        <w:t xml:space="preserve">Autres problématiques récurrentes pointées par le Livre Blanc et induites par des bâtiments peu ou mal isolés, sans traitement de ponts thermiques, la qualité de l’air intérieur et par voie de conséquence, la santé des Français puisque nos compatriotes passent 84 % de leur temps à l’intérieur (source ONPE). </w:t>
      </w:r>
    </w:p>
    <w:p w14:paraId="2E7B655E" w14:textId="1C83F989" w:rsidR="003C7D87" w:rsidRPr="00027642" w:rsidRDefault="004137C1" w:rsidP="004137C1">
      <w:pPr>
        <w:ind w:left="-284" w:right="-142"/>
        <w:jc w:val="both"/>
        <w:rPr>
          <w:rFonts w:ascii="Palatino" w:hAnsi="Palatino"/>
          <w:color w:val="000000" w:themeColor="text1"/>
        </w:rPr>
      </w:pPr>
      <w:r w:rsidRPr="00027642">
        <w:rPr>
          <w:rFonts w:ascii="Palatino" w:eastAsiaTheme="minorHAnsi" w:hAnsi="Palatino" w:cs="Calibri"/>
          <w:color w:val="000000"/>
          <w:spacing w:val="2"/>
          <w:lang w:eastAsia="en-US"/>
        </w:rPr>
        <w:t xml:space="preserve">Rappelons à ce titre que l’Observatoire de la Qualité de l’Air Intérieur estimait dans son rapport de 2014, que la qualité de l’air intérieur était à l’origine de pas moins de 20 000 décès annuels. En France, l’ANSES estime d’ailleurs entre 14 et 20 % le nombre de logements présentant des moisissures visibles. Un constat partagé par l’OMS qui confirme que « les problèmes liés à la qualité de l’air intérieur des bâtiments sont reconnus comme un important facteur de risque pour la santé humaine. » D’ailleurs, toujours selon l’OMS, « </w:t>
      </w:r>
      <w:r w:rsidRPr="00027642">
        <w:rPr>
          <w:rFonts w:ascii="Palatino" w:eastAsiaTheme="minorHAnsi" w:hAnsi="Palatino" w:cs="Calibri-Italic"/>
          <w:i/>
          <w:iCs/>
          <w:color w:val="000000"/>
          <w:spacing w:val="2"/>
          <w:lang w:eastAsia="en-US"/>
        </w:rPr>
        <w:t>les ponts thermiques, une isolation inadéquate (…) peuvent créer une température de surface inférieure au point de rosée de l’air et produire de l’humidité</w:t>
      </w:r>
      <w:r w:rsidRPr="00027642">
        <w:rPr>
          <w:rFonts w:ascii="Palatino" w:eastAsiaTheme="minorHAnsi" w:hAnsi="Palatino" w:cs="Calibri"/>
          <w:color w:val="000000"/>
          <w:spacing w:val="2"/>
          <w:lang w:eastAsia="en-US"/>
        </w:rPr>
        <w:t xml:space="preserve"> », engendrant inéluctablement le développement de moisissures. Précisons par ailleurs que ces bâtiments, (les fameuses passoires thermiques aux étiquettes F et G, estimées à 5,2 millions d’unités soit 17 % du parc immobilier français) affichent des transactions jusqu’à 57 % moins chères que des biens identiques aux étiquettes de diagnostic des performances énergétiques « A ».</w:t>
      </w:r>
    </w:p>
    <w:p w14:paraId="3FCFBAEC" w14:textId="77777777" w:rsidR="000537E5" w:rsidRDefault="000537E5" w:rsidP="004D6214">
      <w:pPr>
        <w:ind w:left="-284" w:right="-142"/>
        <w:jc w:val="both"/>
        <w:rPr>
          <w:rFonts w:ascii="Palatino" w:hAnsi="Palatino"/>
          <w:i/>
          <w:iCs/>
          <w:color w:val="000000" w:themeColor="text1"/>
          <w:u w:val="single"/>
        </w:rPr>
      </w:pPr>
    </w:p>
    <w:p w14:paraId="0E08C3FE" w14:textId="77777777" w:rsidR="004137C1" w:rsidRPr="00F92E7A" w:rsidRDefault="004137C1" w:rsidP="004D6214">
      <w:pPr>
        <w:ind w:left="-284" w:right="-142"/>
        <w:jc w:val="both"/>
        <w:rPr>
          <w:rFonts w:ascii="Palatino" w:hAnsi="Palatino"/>
          <w:color w:val="000000" w:themeColor="text1"/>
        </w:rPr>
      </w:pPr>
    </w:p>
    <w:p w14:paraId="0B826F86" w14:textId="77777777" w:rsidR="009A2BFF" w:rsidRPr="009A2BFF" w:rsidRDefault="009A2BFF" w:rsidP="009A2BFF">
      <w:pPr>
        <w:widowControl w:val="0"/>
        <w:suppressAutoHyphens/>
        <w:autoSpaceDE w:val="0"/>
        <w:autoSpaceDN w:val="0"/>
        <w:adjustRightInd w:val="0"/>
        <w:spacing w:line="288" w:lineRule="auto"/>
        <w:ind w:left="-284"/>
        <w:jc w:val="both"/>
        <w:textAlignment w:val="center"/>
        <w:rPr>
          <w:rFonts w:ascii="Palatino" w:eastAsiaTheme="minorHAnsi" w:hAnsi="Palatino" w:cs="Calibri"/>
          <w:color w:val="000000"/>
          <w:lang w:eastAsia="en-US"/>
        </w:rPr>
      </w:pPr>
      <w:r w:rsidRPr="009A2BFF">
        <w:rPr>
          <w:rFonts w:ascii="Palatino" w:eastAsiaTheme="minorHAnsi" w:hAnsi="Palatino" w:cs="Calibri-Bold"/>
          <w:b/>
          <w:bCs/>
          <w:color w:val="000000"/>
          <w:lang w:eastAsia="en-US"/>
        </w:rPr>
        <w:t xml:space="preserve">Pour Raphaël </w:t>
      </w:r>
      <w:r w:rsidRPr="009A2BFF">
        <w:rPr>
          <w:rFonts w:ascii="Palatino" w:eastAsiaTheme="minorHAnsi" w:hAnsi="Palatino" w:cs="Calibri-Bold"/>
          <w:b/>
          <w:bCs/>
          <w:caps/>
          <w:color w:val="000000"/>
          <w:lang w:eastAsia="en-US"/>
        </w:rPr>
        <w:t>Kieffer</w:t>
      </w:r>
      <w:r w:rsidRPr="009A2BFF">
        <w:rPr>
          <w:rFonts w:ascii="Palatino" w:eastAsiaTheme="minorHAnsi" w:hAnsi="Palatino" w:cs="Calibri-Bold"/>
          <w:b/>
          <w:bCs/>
          <w:color w:val="000000"/>
          <w:lang w:eastAsia="en-US"/>
        </w:rPr>
        <w:t xml:space="preserve">, </w:t>
      </w:r>
      <w:r w:rsidRPr="009A2BFF">
        <w:rPr>
          <w:rFonts w:ascii="Palatino" w:eastAsiaTheme="minorHAnsi" w:hAnsi="Palatino" w:cs="Calibri"/>
          <w:color w:val="000000"/>
          <w:lang w:eastAsia="en-US"/>
        </w:rPr>
        <w:t xml:space="preserve">membre du Groupe de Travail : </w:t>
      </w:r>
    </w:p>
    <w:p w14:paraId="25FD1430" w14:textId="77777777" w:rsidR="009A2BFF" w:rsidRPr="009A2BFF" w:rsidRDefault="009A2BFF" w:rsidP="009A2BFF">
      <w:pPr>
        <w:widowControl w:val="0"/>
        <w:suppressAutoHyphens/>
        <w:autoSpaceDE w:val="0"/>
        <w:autoSpaceDN w:val="0"/>
        <w:adjustRightInd w:val="0"/>
        <w:spacing w:before="57" w:line="288" w:lineRule="auto"/>
        <w:ind w:left="-284"/>
        <w:jc w:val="both"/>
        <w:textAlignment w:val="center"/>
        <w:rPr>
          <w:rFonts w:ascii="Palatino" w:eastAsiaTheme="minorHAnsi" w:hAnsi="Palatino" w:cs="Calibri-Italic"/>
          <w:i/>
          <w:iCs/>
          <w:color w:val="000000"/>
          <w:lang w:eastAsia="en-US"/>
        </w:rPr>
      </w:pPr>
      <w:r w:rsidRPr="009A2BFF">
        <w:rPr>
          <w:rFonts w:ascii="Palatino" w:eastAsiaTheme="minorHAnsi" w:hAnsi="Palatino" w:cs="Calibri-Italic"/>
          <w:i/>
          <w:iCs/>
          <w:color w:val="000000"/>
          <w:lang w:eastAsia="en-US"/>
        </w:rPr>
        <w:t xml:space="preserve">« Malgré la mobilisation de nombreux acteurs du secteur, la nouvelle réglementation souffre d’une stagnation des niveaux d’exigences sur les ponts thermiques. Cela signifie qu’elle permet de continuer à construire des bâtiments isolés par l’extérieur en négligeant de traiter la plus grosse déperdition énergétique qui est celle au droit des balcons/loggias et acrotères. En isolation thermique par l’intérieur, l’objectif de moyens doit être transformé en objectif de résultat au droit des ponts thermiques, et imposer une réduction de la valeur psi de 0,6 W/ml-°K à 0,4 W/ml-°K. Ainsi, malgré l’entrée en vigueur de la RE2020, les membres du groupe de travail confirment prôner un cadre de référence incitant à faire encore plus que la règlementation, tant au niveau </w:t>
      </w:r>
      <w:r w:rsidRPr="009A2BFF">
        <w:rPr>
          <w:rFonts w:ascii="Palatino" w:eastAsiaTheme="minorHAnsi" w:hAnsi="Palatino" w:cs="Calibri-Italic"/>
          <w:i/>
          <w:iCs/>
          <w:color w:val="000000"/>
          <w:lang w:eastAsia="en-US"/>
        </w:rPr>
        <w:lastRenderedPageBreak/>
        <w:t>européen qu’hexagonal afin de construire des bâtiments énergétiquement plus performants et moins émetteurs de gaz à effet de serre. »</w:t>
      </w:r>
    </w:p>
    <w:p w14:paraId="0BA13CFF" w14:textId="43ADA9E6" w:rsidR="00C61077" w:rsidRDefault="00C61077" w:rsidP="004D6214">
      <w:pPr>
        <w:autoSpaceDE w:val="0"/>
        <w:autoSpaceDN w:val="0"/>
        <w:adjustRightInd w:val="0"/>
        <w:ind w:left="-284" w:right="-142"/>
        <w:jc w:val="both"/>
        <w:rPr>
          <w:rFonts w:ascii="Palatino" w:hAnsi="Palatino"/>
          <w:color w:val="000000" w:themeColor="text1"/>
        </w:rPr>
      </w:pPr>
    </w:p>
    <w:p w14:paraId="03BF4C5B" w14:textId="77777777" w:rsidR="00EA2401" w:rsidRDefault="00EA2401" w:rsidP="00013A4E">
      <w:pPr>
        <w:widowControl w:val="0"/>
        <w:suppressAutoHyphens/>
        <w:autoSpaceDE w:val="0"/>
        <w:autoSpaceDN w:val="0"/>
        <w:adjustRightInd w:val="0"/>
        <w:spacing w:before="57" w:line="288" w:lineRule="auto"/>
        <w:ind w:left="-284" w:right="-142"/>
        <w:textAlignment w:val="center"/>
        <w:rPr>
          <w:rFonts w:ascii="Palatino" w:eastAsiaTheme="minorHAnsi" w:hAnsi="Palatino" w:cs="Calibri-Bold"/>
          <w:b/>
          <w:bCs/>
          <w:color w:val="000000" w:themeColor="text1"/>
          <w:spacing w:val="-9"/>
          <w:lang w:eastAsia="en-US"/>
        </w:rPr>
      </w:pPr>
    </w:p>
    <w:p w14:paraId="714DE9C9" w14:textId="77777777" w:rsidR="00013A4E" w:rsidRPr="00013A4E" w:rsidRDefault="00013A4E" w:rsidP="00013A4E">
      <w:pPr>
        <w:widowControl w:val="0"/>
        <w:suppressAutoHyphens/>
        <w:autoSpaceDE w:val="0"/>
        <w:autoSpaceDN w:val="0"/>
        <w:adjustRightInd w:val="0"/>
        <w:spacing w:before="57" w:line="288" w:lineRule="auto"/>
        <w:ind w:left="-284" w:right="-142"/>
        <w:textAlignment w:val="center"/>
        <w:rPr>
          <w:rFonts w:ascii="Palatino" w:eastAsiaTheme="minorHAnsi" w:hAnsi="Palatino" w:cs="Calibri-Bold"/>
          <w:b/>
          <w:bCs/>
          <w:color w:val="000000" w:themeColor="text1"/>
          <w:spacing w:val="-9"/>
          <w:lang w:eastAsia="en-US"/>
        </w:rPr>
      </w:pPr>
      <w:r w:rsidRPr="00013A4E">
        <w:rPr>
          <w:rFonts w:ascii="Palatino" w:eastAsiaTheme="minorHAnsi" w:hAnsi="Palatino" w:cs="Calibri-Bold"/>
          <w:b/>
          <w:bCs/>
          <w:color w:val="000000" w:themeColor="text1"/>
          <w:spacing w:val="-9"/>
          <w:lang w:eastAsia="en-US"/>
        </w:rPr>
        <w:t xml:space="preserve">Pour atteindre la neutralité carbone en 2050 fixée par l’Union Européenne, </w:t>
      </w:r>
    </w:p>
    <w:p w14:paraId="550EA99F" w14:textId="77777777" w:rsidR="00013A4E" w:rsidRPr="00013A4E" w:rsidRDefault="00013A4E" w:rsidP="00013A4E">
      <w:pPr>
        <w:widowControl w:val="0"/>
        <w:suppressAutoHyphens/>
        <w:autoSpaceDE w:val="0"/>
        <w:autoSpaceDN w:val="0"/>
        <w:adjustRightInd w:val="0"/>
        <w:spacing w:before="57" w:line="288" w:lineRule="auto"/>
        <w:ind w:left="-284" w:right="-142"/>
        <w:textAlignment w:val="center"/>
        <w:rPr>
          <w:rFonts w:ascii="Palatino" w:eastAsiaTheme="minorHAnsi" w:hAnsi="Palatino" w:cs="Calibri-Bold"/>
          <w:b/>
          <w:bCs/>
          <w:color w:val="000000" w:themeColor="text1"/>
          <w:spacing w:val="-9"/>
          <w:lang w:eastAsia="en-US"/>
        </w:rPr>
      </w:pPr>
      <w:r w:rsidRPr="00013A4E">
        <w:rPr>
          <w:rFonts w:ascii="Palatino" w:eastAsiaTheme="minorHAnsi" w:hAnsi="Palatino" w:cs="Calibri-Bold"/>
          <w:b/>
          <w:bCs/>
          <w:color w:val="000000" w:themeColor="text1"/>
          <w:spacing w:val="-9"/>
          <w:lang w:eastAsia="en-US"/>
        </w:rPr>
        <w:t xml:space="preserve">la priorité doit être donnée à la rénovation de l’enveloppe et à sa performance. </w:t>
      </w:r>
    </w:p>
    <w:p w14:paraId="3D2708D8" w14:textId="2E8E1E4A" w:rsidR="00D344CE" w:rsidRPr="00013A4E" w:rsidRDefault="00013A4E" w:rsidP="00013A4E">
      <w:pPr>
        <w:autoSpaceDE w:val="0"/>
        <w:autoSpaceDN w:val="0"/>
        <w:adjustRightInd w:val="0"/>
        <w:ind w:left="-284" w:right="-142"/>
        <w:jc w:val="both"/>
        <w:rPr>
          <w:rFonts w:ascii="Palatino" w:eastAsiaTheme="minorHAnsi" w:hAnsi="Palatino" w:cs="Calibri-Bold"/>
          <w:b/>
          <w:bCs/>
          <w:color w:val="000000" w:themeColor="text1"/>
          <w:spacing w:val="-9"/>
          <w:lang w:eastAsia="en-US"/>
        </w:rPr>
      </w:pPr>
      <w:r w:rsidRPr="00013A4E">
        <w:rPr>
          <w:rFonts w:ascii="Palatino" w:eastAsiaTheme="minorHAnsi" w:hAnsi="Palatino" w:cs="Calibri-Bold"/>
          <w:b/>
          <w:bCs/>
          <w:color w:val="000000" w:themeColor="text1"/>
          <w:spacing w:val="-9"/>
          <w:lang w:eastAsia="en-US"/>
        </w:rPr>
        <w:t>Le Groupe de Travail sur la Qualité de l’Enveloppe recommande :</w:t>
      </w:r>
    </w:p>
    <w:p w14:paraId="5CEB60BB" w14:textId="77777777" w:rsidR="00013A4E" w:rsidRPr="00013A4E" w:rsidRDefault="00013A4E" w:rsidP="00013A4E">
      <w:pPr>
        <w:autoSpaceDE w:val="0"/>
        <w:autoSpaceDN w:val="0"/>
        <w:adjustRightInd w:val="0"/>
        <w:ind w:left="-284" w:right="-142"/>
        <w:jc w:val="both"/>
        <w:rPr>
          <w:rFonts w:ascii="Palatino" w:eastAsiaTheme="minorHAnsi" w:hAnsi="Palatino" w:cs="Calibri-Bold"/>
          <w:b/>
          <w:bCs/>
          <w:color w:val="000000" w:themeColor="text1"/>
          <w:spacing w:val="-9"/>
          <w:lang w:eastAsia="en-US"/>
        </w:rPr>
      </w:pPr>
    </w:p>
    <w:p w14:paraId="4DAB606F" w14:textId="400FFA8E" w:rsidR="00013A4E" w:rsidRPr="00013A4E" w:rsidRDefault="00013A4E" w:rsidP="00013A4E">
      <w:pPr>
        <w:widowControl w:val="0"/>
        <w:suppressAutoHyphens/>
        <w:autoSpaceDE w:val="0"/>
        <w:autoSpaceDN w:val="0"/>
        <w:adjustRightInd w:val="0"/>
        <w:spacing w:before="113" w:line="288" w:lineRule="auto"/>
        <w:ind w:left="-284" w:right="-142"/>
        <w:jc w:val="both"/>
        <w:textAlignment w:val="center"/>
        <w:rPr>
          <w:rFonts w:ascii="Palatino" w:eastAsiaTheme="minorHAnsi" w:hAnsi="Palatino" w:cs="Calibri"/>
          <w:color w:val="000000" w:themeColor="text1"/>
          <w:spacing w:val="-4"/>
          <w:lang w:eastAsia="en-US"/>
        </w:rPr>
      </w:pPr>
      <w:r w:rsidRPr="00013A4E">
        <w:rPr>
          <w:rFonts w:ascii="Palatino" w:eastAsiaTheme="minorHAnsi" w:hAnsi="Palatino" w:cs="Calibri-Bold"/>
          <w:b/>
          <w:bCs/>
          <w:color w:val="000000" w:themeColor="text1"/>
          <w:spacing w:val="-4"/>
          <w:lang w:eastAsia="en-US"/>
        </w:rPr>
        <w:t>Adopter un plan choc d’éradication définitive des passoires thermiques avant 2034 :</w:t>
      </w:r>
    </w:p>
    <w:p w14:paraId="429F5831" w14:textId="77777777" w:rsidR="00013A4E" w:rsidRPr="00013A4E" w:rsidRDefault="00013A4E" w:rsidP="00013A4E">
      <w:pPr>
        <w:widowControl w:val="0"/>
        <w:suppressAutoHyphens/>
        <w:autoSpaceDE w:val="0"/>
        <w:autoSpaceDN w:val="0"/>
        <w:adjustRightInd w:val="0"/>
        <w:spacing w:line="288" w:lineRule="auto"/>
        <w:ind w:left="-284" w:right="-142"/>
        <w:jc w:val="both"/>
        <w:textAlignment w:val="center"/>
        <w:rPr>
          <w:rFonts w:ascii="Palatino" w:eastAsiaTheme="minorHAnsi" w:hAnsi="Palatino" w:cs="Calibri"/>
          <w:color w:val="000000" w:themeColor="text1"/>
          <w:spacing w:val="-4"/>
          <w:lang w:eastAsia="en-US"/>
        </w:rPr>
      </w:pPr>
      <w:r w:rsidRPr="00013A4E">
        <w:rPr>
          <w:rFonts w:ascii="Palatino" w:eastAsiaTheme="minorHAnsi" w:hAnsi="Palatino" w:cs="Calibri"/>
          <w:color w:val="000000" w:themeColor="text1"/>
          <w:spacing w:val="-4"/>
          <w:lang w:eastAsia="en-US"/>
        </w:rPr>
        <w:t>-</w:t>
      </w:r>
      <w:r w:rsidRPr="00013A4E">
        <w:rPr>
          <w:rFonts w:ascii="Palatino" w:eastAsiaTheme="minorHAnsi" w:hAnsi="Palatino" w:cs="Calibri"/>
          <w:color w:val="000000" w:themeColor="text1"/>
          <w:spacing w:val="-4"/>
          <w:lang w:eastAsia="en-US"/>
        </w:rPr>
        <w:t> </w:t>
      </w:r>
      <w:r w:rsidRPr="00013A4E">
        <w:rPr>
          <w:rFonts w:ascii="Palatino" w:eastAsiaTheme="minorHAnsi" w:hAnsi="Palatino" w:cs="Calibri"/>
          <w:color w:val="000000" w:themeColor="text1"/>
          <w:spacing w:val="-4"/>
          <w:lang w:eastAsia="en-US"/>
        </w:rPr>
        <w:t>Atteindre 500 000 rénovations globales et performantes par an.</w:t>
      </w:r>
    </w:p>
    <w:p w14:paraId="76072FC8" w14:textId="77777777" w:rsidR="00013A4E" w:rsidRPr="00013A4E" w:rsidRDefault="00013A4E" w:rsidP="00013A4E">
      <w:pPr>
        <w:widowControl w:val="0"/>
        <w:suppressAutoHyphens/>
        <w:autoSpaceDE w:val="0"/>
        <w:autoSpaceDN w:val="0"/>
        <w:adjustRightInd w:val="0"/>
        <w:spacing w:line="288" w:lineRule="auto"/>
        <w:ind w:left="-284" w:right="-142"/>
        <w:jc w:val="both"/>
        <w:textAlignment w:val="center"/>
        <w:rPr>
          <w:rFonts w:ascii="Palatino" w:eastAsiaTheme="minorHAnsi" w:hAnsi="Palatino" w:cs="Calibri"/>
          <w:color w:val="000000" w:themeColor="text1"/>
          <w:spacing w:val="-4"/>
          <w:lang w:eastAsia="en-US"/>
        </w:rPr>
      </w:pPr>
      <w:r w:rsidRPr="00013A4E">
        <w:rPr>
          <w:rFonts w:ascii="Palatino" w:eastAsiaTheme="minorHAnsi" w:hAnsi="Palatino" w:cs="Calibri"/>
          <w:color w:val="000000" w:themeColor="text1"/>
          <w:spacing w:val="-4"/>
          <w:lang w:eastAsia="en-US"/>
        </w:rPr>
        <w:t>-</w:t>
      </w:r>
      <w:r w:rsidRPr="00013A4E">
        <w:rPr>
          <w:rFonts w:ascii="Palatino" w:eastAsiaTheme="minorHAnsi" w:hAnsi="Palatino" w:cs="Calibri"/>
          <w:color w:val="000000" w:themeColor="text1"/>
          <w:spacing w:val="-4"/>
          <w:lang w:eastAsia="en-US"/>
        </w:rPr>
        <w:t> </w:t>
      </w:r>
      <w:r w:rsidRPr="00013A4E">
        <w:rPr>
          <w:rFonts w:ascii="Palatino" w:eastAsiaTheme="minorHAnsi" w:hAnsi="Palatino" w:cs="Calibri"/>
          <w:color w:val="000000" w:themeColor="text1"/>
          <w:spacing w:val="-4"/>
          <w:lang w:eastAsia="en-US"/>
        </w:rPr>
        <w:t>Stopper le saupoudrage des aides et les concentrer sur ce plan pour bénéficier d’un retour sur investissement significatif.</w:t>
      </w:r>
    </w:p>
    <w:p w14:paraId="0CC0FFA6" w14:textId="77777777" w:rsidR="00013A4E" w:rsidRPr="00013A4E" w:rsidRDefault="00013A4E" w:rsidP="00013A4E">
      <w:pPr>
        <w:widowControl w:val="0"/>
        <w:suppressAutoHyphens/>
        <w:autoSpaceDE w:val="0"/>
        <w:autoSpaceDN w:val="0"/>
        <w:adjustRightInd w:val="0"/>
        <w:spacing w:line="288" w:lineRule="auto"/>
        <w:ind w:left="-284" w:right="-142"/>
        <w:jc w:val="both"/>
        <w:textAlignment w:val="center"/>
        <w:rPr>
          <w:rFonts w:ascii="Palatino" w:eastAsiaTheme="minorHAnsi" w:hAnsi="Palatino" w:cs="Calibri"/>
          <w:color w:val="000000" w:themeColor="text1"/>
          <w:spacing w:val="-4"/>
          <w:lang w:eastAsia="en-US"/>
        </w:rPr>
      </w:pPr>
      <w:r w:rsidRPr="00013A4E">
        <w:rPr>
          <w:rFonts w:ascii="Palatino" w:eastAsiaTheme="minorHAnsi" w:hAnsi="Palatino" w:cs="Calibri"/>
          <w:color w:val="000000" w:themeColor="text1"/>
          <w:spacing w:val="-4"/>
          <w:lang w:eastAsia="en-US"/>
        </w:rPr>
        <w:t>-</w:t>
      </w:r>
      <w:r w:rsidRPr="00013A4E">
        <w:rPr>
          <w:rFonts w:ascii="Palatino" w:eastAsiaTheme="minorHAnsi" w:hAnsi="Palatino" w:cs="Calibri"/>
          <w:color w:val="000000" w:themeColor="text1"/>
          <w:spacing w:val="-4"/>
          <w:lang w:eastAsia="en-US"/>
        </w:rPr>
        <w:t> </w:t>
      </w:r>
      <w:r w:rsidRPr="00013A4E">
        <w:rPr>
          <w:rFonts w:ascii="Palatino" w:eastAsiaTheme="minorHAnsi" w:hAnsi="Palatino" w:cs="Calibri"/>
          <w:color w:val="000000" w:themeColor="text1"/>
          <w:spacing w:val="-4"/>
          <w:lang w:eastAsia="en-US"/>
        </w:rPr>
        <w:t xml:space="preserve">Mettre en place des zones expérimentales prioritaires (ZEP) à partir de 2023 pour valider la performance énergétique et économique </w:t>
      </w:r>
      <w:r w:rsidRPr="00013A4E">
        <w:rPr>
          <w:rFonts w:ascii="Palatino" w:eastAsiaTheme="minorHAnsi" w:hAnsi="Palatino" w:cs="Calibri"/>
          <w:color w:val="000000" w:themeColor="text1"/>
          <w:spacing w:val="-4"/>
          <w:lang w:eastAsia="en-US"/>
        </w:rPr>
        <w:tab/>
        <w:t xml:space="preserve">  en y associant l’État, les collectivités, les bailleurs, les maîtres d’</w:t>
      </w:r>
      <w:proofErr w:type="spellStart"/>
      <w:r w:rsidRPr="00013A4E">
        <w:rPr>
          <w:rFonts w:ascii="Palatino" w:eastAsiaTheme="minorHAnsi" w:hAnsi="Palatino" w:cs="Calibri"/>
          <w:color w:val="000000" w:themeColor="text1"/>
          <w:spacing w:val="-4"/>
          <w:lang w:eastAsia="en-US"/>
        </w:rPr>
        <w:t>oeuvre</w:t>
      </w:r>
      <w:proofErr w:type="spellEnd"/>
      <w:r w:rsidRPr="00013A4E">
        <w:rPr>
          <w:rFonts w:ascii="Palatino" w:eastAsiaTheme="minorHAnsi" w:hAnsi="Palatino" w:cs="Calibri"/>
          <w:color w:val="000000" w:themeColor="text1"/>
          <w:spacing w:val="-4"/>
          <w:lang w:eastAsia="en-US"/>
        </w:rPr>
        <w:t xml:space="preserve">, les opérateurs de rénovation énergétique.   </w:t>
      </w:r>
    </w:p>
    <w:p w14:paraId="631C3DAC" w14:textId="400BDF6C" w:rsidR="00013A4E" w:rsidRPr="00013A4E" w:rsidRDefault="00013A4E" w:rsidP="00013A4E">
      <w:pPr>
        <w:widowControl w:val="0"/>
        <w:suppressAutoHyphens/>
        <w:autoSpaceDE w:val="0"/>
        <w:autoSpaceDN w:val="0"/>
        <w:adjustRightInd w:val="0"/>
        <w:spacing w:before="227" w:line="288" w:lineRule="auto"/>
        <w:ind w:left="-284" w:right="-142"/>
        <w:jc w:val="both"/>
        <w:textAlignment w:val="center"/>
        <w:rPr>
          <w:rFonts w:ascii="Palatino" w:eastAsiaTheme="minorHAnsi" w:hAnsi="Palatino" w:cs="Calibri-Bold"/>
          <w:b/>
          <w:bCs/>
          <w:color w:val="000000" w:themeColor="text1"/>
          <w:spacing w:val="-4"/>
          <w:lang w:eastAsia="en-US"/>
        </w:rPr>
      </w:pPr>
      <w:r w:rsidRPr="00013A4E">
        <w:rPr>
          <w:rFonts w:ascii="Palatino" w:eastAsiaTheme="minorHAnsi" w:hAnsi="Palatino" w:cs="Calibri-Bold"/>
          <w:b/>
          <w:bCs/>
          <w:color w:val="000000" w:themeColor="text1"/>
          <w:spacing w:val="-4"/>
          <w:lang w:eastAsia="en-US"/>
        </w:rPr>
        <w:t>Créer une Prime Travaux Combinés (PTC) instaurant les étapes et l’ordre à respecter, pour atteindre le niveau de performance BBC en résidentiel privé (individuel ou, collectif) :</w:t>
      </w:r>
    </w:p>
    <w:p w14:paraId="4D76DC6E" w14:textId="77777777" w:rsidR="00013A4E" w:rsidRPr="00013A4E" w:rsidRDefault="00013A4E" w:rsidP="00013A4E">
      <w:pPr>
        <w:widowControl w:val="0"/>
        <w:suppressAutoHyphens/>
        <w:autoSpaceDE w:val="0"/>
        <w:autoSpaceDN w:val="0"/>
        <w:adjustRightInd w:val="0"/>
        <w:spacing w:before="57" w:line="288" w:lineRule="auto"/>
        <w:ind w:left="-284" w:right="-142"/>
        <w:jc w:val="both"/>
        <w:textAlignment w:val="center"/>
        <w:rPr>
          <w:rFonts w:ascii="Palatino" w:eastAsiaTheme="minorHAnsi" w:hAnsi="Palatino" w:cs="Calibri"/>
          <w:color w:val="000000" w:themeColor="text1"/>
          <w:spacing w:val="-4"/>
          <w:lang w:eastAsia="en-US"/>
        </w:rPr>
      </w:pPr>
      <w:r w:rsidRPr="00013A4E">
        <w:rPr>
          <w:rFonts w:ascii="Palatino" w:eastAsiaTheme="minorHAnsi" w:hAnsi="Palatino" w:cs="Calibri"/>
          <w:color w:val="000000" w:themeColor="text1"/>
          <w:spacing w:val="-4"/>
          <w:lang w:eastAsia="en-US"/>
        </w:rPr>
        <w:t>-</w:t>
      </w:r>
      <w:r w:rsidRPr="00013A4E">
        <w:rPr>
          <w:rFonts w:ascii="Palatino" w:eastAsiaTheme="minorHAnsi" w:hAnsi="Palatino" w:cs="Calibri"/>
          <w:color w:val="000000" w:themeColor="text1"/>
          <w:spacing w:val="-4"/>
          <w:lang w:eastAsia="en-US"/>
        </w:rPr>
        <w:t> </w:t>
      </w:r>
      <w:r w:rsidRPr="00013A4E">
        <w:rPr>
          <w:rFonts w:ascii="Palatino" w:eastAsiaTheme="minorHAnsi" w:hAnsi="Palatino" w:cs="Calibri"/>
          <w:color w:val="000000" w:themeColor="text1"/>
          <w:spacing w:val="-4"/>
          <w:lang w:eastAsia="en-US"/>
        </w:rPr>
        <w:t>Respect de la programmation des travaux :</w:t>
      </w:r>
    </w:p>
    <w:p w14:paraId="63F345D8" w14:textId="77777777" w:rsidR="00013A4E" w:rsidRPr="00013A4E" w:rsidRDefault="00013A4E" w:rsidP="00013A4E">
      <w:pPr>
        <w:widowControl w:val="0"/>
        <w:suppressAutoHyphens/>
        <w:autoSpaceDE w:val="0"/>
        <w:autoSpaceDN w:val="0"/>
        <w:adjustRightInd w:val="0"/>
        <w:spacing w:line="288" w:lineRule="auto"/>
        <w:ind w:left="-284" w:right="-142"/>
        <w:jc w:val="both"/>
        <w:textAlignment w:val="center"/>
        <w:rPr>
          <w:rFonts w:ascii="Palatino" w:eastAsiaTheme="minorHAnsi" w:hAnsi="Palatino" w:cs="Calibri"/>
          <w:color w:val="000000" w:themeColor="text1"/>
          <w:spacing w:val="-4"/>
          <w:lang w:eastAsia="en-US"/>
        </w:rPr>
      </w:pPr>
      <w:r w:rsidRPr="00013A4E">
        <w:rPr>
          <w:rFonts w:ascii="Palatino" w:eastAsiaTheme="minorHAnsi" w:hAnsi="Palatino" w:cs="Calibri"/>
          <w:color w:val="000000" w:themeColor="text1"/>
          <w:spacing w:val="-4"/>
          <w:lang w:eastAsia="en-US"/>
        </w:rPr>
        <w:t>1 - Isolation murs, combles et ventilation</w:t>
      </w:r>
    </w:p>
    <w:p w14:paraId="06CB602A" w14:textId="77777777" w:rsidR="00013A4E" w:rsidRPr="00013A4E" w:rsidRDefault="00013A4E" w:rsidP="00013A4E">
      <w:pPr>
        <w:widowControl w:val="0"/>
        <w:suppressAutoHyphens/>
        <w:autoSpaceDE w:val="0"/>
        <w:autoSpaceDN w:val="0"/>
        <w:adjustRightInd w:val="0"/>
        <w:spacing w:line="288" w:lineRule="auto"/>
        <w:ind w:left="-284" w:right="-142"/>
        <w:jc w:val="both"/>
        <w:textAlignment w:val="center"/>
        <w:rPr>
          <w:rFonts w:ascii="Palatino" w:eastAsiaTheme="minorHAnsi" w:hAnsi="Palatino" w:cs="Calibri"/>
          <w:color w:val="000000" w:themeColor="text1"/>
          <w:spacing w:val="-4"/>
          <w:lang w:eastAsia="en-US"/>
        </w:rPr>
      </w:pPr>
      <w:r w:rsidRPr="00013A4E">
        <w:rPr>
          <w:rFonts w:ascii="Palatino" w:eastAsiaTheme="minorHAnsi" w:hAnsi="Palatino" w:cs="Calibri"/>
          <w:color w:val="000000" w:themeColor="text1"/>
          <w:spacing w:val="-4"/>
          <w:lang w:eastAsia="en-US"/>
        </w:rPr>
        <w:t>2 - Parois vitrées</w:t>
      </w:r>
    </w:p>
    <w:p w14:paraId="4334E5ED" w14:textId="77777777" w:rsidR="00013A4E" w:rsidRPr="00013A4E" w:rsidRDefault="00013A4E" w:rsidP="00013A4E">
      <w:pPr>
        <w:widowControl w:val="0"/>
        <w:suppressAutoHyphens/>
        <w:autoSpaceDE w:val="0"/>
        <w:autoSpaceDN w:val="0"/>
        <w:adjustRightInd w:val="0"/>
        <w:spacing w:line="288" w:lineRule="auto"/>
        <w:ind w:left="-284" w:right="-142"/>
        <w:jc w:val="both"/>
        <w:textAlignment w:val="center"/>
        <w:rPr>
          <w:rFonts w:ascii="Palatino" w:eastAsiaTheme="minorHAnsi" w:hAnsi="Palatino" w:cs="Calibri"/>
          <w:color w:val="000000" w:themeColor="text1"/>
          <w:spacing w:val="-4"/>
          <w:lang w:eastAsia="en-US"/>
        </w:rPr>
      </w:pPr>
      <w:r w:rsidRPr="00013A4E">
        <w:rPr>
          <w:rFonts w:ascii="Palatino" w:eastAsiaTheme="minorHAnsi" w:hAnsi="Palatino" w:cs="Calibri"/>
          <w:color w:val="000000" w:themeColor="text1"/>
          <w:spacing w:val="-4"/>
          <w:lang w:eastAsia="en-US"/>
        </w:rPr>
        <w:t xml:space="preserve">3 - Chauffage-ECS avec </w:t>
      </w:r>
      <w:proofErr w:type="spellStart"/>
      <w:r w:rsidRPr="00013A4E">
        <w:rPr>
          <w:rFonts w:ascii="Palatino" w:eastAsiaTheme="minorHAnsi" w:hAnsi="Palatino" w:cs="Calibri"/>
          <w:color w:val="000000" w:themeColor="text1"/>
          <w:spacing w:val="-4"/>
          <w:lang w:eastAsia="en-US"/>
        </w:rPr>
        <w:t>EnR</w:t>
      </w:r>
      <w:proofErr w:type="spellEnd"/>
    </w:p>
    <w:p w14:paraId="5F65978D" w14:textId="77777777" w:rsidR="00013A4E" w:rsidRPr="00013A4E" w:rsidRDefault="00013A4E" w:rsidP="00013A4E">
      <w:pPr>
        <w:widowControl w:val="0"/>
        <w:suppressAutoHyphens/>
        <w:autoSpaceDE w:val="0"/>
        <w:autoSpaceDN w:val="0"/>
        <w:adjustRightInd w:val="0"/>
        <w:spacing w:before="57" w:line="288" w:lineRule="auto"/>
        <w:ind w:left="-284" w:right="-142"/>
        <w:jc w:val="both"/>
        <w:textAlignment w:val="center"/>
        <w:rPr>
          <w:rFonts w:ascii="Palatino" w:eastAsiaTheme="minorHAnsi" w:hAnsi="Palatino" w:cs="Calibri"/>
          <w:color w:val="000000" w:themeColor="text1"/>
          <w:spacing w:val="-4"/>
          <w:lang w:eastAsia="en-US"/>
        </w:rPr>
      </w:pPr>
      <w:r w:rsidRPr="00013A4E">
        <w:rPr>
          <w:rFonts w:ascii="Palatino" w:eastAsiaTheme="minorHAnsi" w:hAnsi="Palatino" w:cs="Calibri"/>
          <w:color w:val="000000" w:themeColor="text1"/>
          <w:spacing w:val="-4"/>
          <w:lang w:eastAsia="en-US"/>
        </w:rPr>
        <w:t>-</w:t>
      </w:r>
      <w:r w:rsidRPr="00013A4E">
        <w:rPr>
          <w:rFonts w:ascii="Palatino" w:eastAsiaTheme="minorHAnsi" w:hAnsi="Palatino" w:cs="Calibri"/>
          <w:color w:val="000000" w:themeColor="text1"/>
          <w:spacing w:val="-4"/>
          <w:lang w:eastAsia="en-US"/>
        </w:rPr>
        <w:t> </w:t>
      </w:r>
      <w:r w:rsidRPr="00013A4E">
        <w:rPr>
          <w:rFonts w:ascii="Palatino" w:eastAsiaTheme="minorHAnsi" w:hAnsi="Palatino" w:cs="Calibri"/>
          <w:color w:val="000000" w:themeColor="text1"/>
          <w:spacing w:val="-4"/>
          <w:lang w:eastAsia="en-US"/>
        </w:rPr>
        <w:t>Mise en œuvre des travaux en 3 à 4 étapes sur une durée maximale de 10 ans.</w:t>
      </w:r>
    </w:p>
    <w:p w14:paraId="5773EFFC" w14:textId="77777777" w:rsidR="00013A4E" w:rsidRPr="00013A4E" w:rsidRDefault="00013A4E" w:rsidP="00013A4E">
      <w:pPr>
        <w:widowControl w:val="0"/>
        <w:suppressAutoHyphens/>
        <w:autoSpaceDE w:val="0"/>
        <w:autoSpaceDN w:val="0"/>
        <w:adjustRightInd w:val="0"/>
        <w:spacing w:before="57" w:line="288" w:lineRule="auto"/>
        <w:ind w:left="-284" w:right="-142"/>
        <w:jc w:val="both"/>
        <w:textAlignment w:val="center"/>
        <w:rPr>
          <w:rFonts w:ascii="Palatino" w:eastAsiaTheme="minorHAnsi" w:hAnsi="Palatino" w:cs="Calibri"/>
          <w:color w:val="000000" w:themeColor="text1"/>
          <w:spacing w:val="-4"/>
          <w:lang w:eastAsia="en-US"/>
        </w:rPr>
      </w:pPr>
      <w:r w:rsidRPr="00013A4E">
        <w:rPr>
          <w:rFonts w:ascii="Palatino" w:eastAsiaTheme="minorHAnsi" w:hAnsi="Palatino" w:cs="Calibri"/>
          <w:color w:val="000000" w:themeColor="text1"/>
          <w:spacing w:val="-4"/>
          <w:lang w:eastAsia="en-US"/>
        </w:rPr>
        <w:t>-</w:t>
      </w:r>
      <w:r w:rsidRPr="00013A4E">
        <w:rPr>
          <w:rFonts w:ascii="Palatino" w:eastAsiaTheme="minorHAnsi" w:hAnsi="Palatino" w:cs="Calibri"/>
          <w:color w:val="000000" w:themeColor="text1"/>
          <w:spacing w:val="-4"/>
          <w:lang w:eastAsia="en-US"/>
        </w:rPr>
        <w:t> </w:t>
      </w:r>
      <w:r w:rsidRPr="00013A4E">
        <w:rPr>
          <w:rFonts w:ascii="Palatino" w:eastAsiaTheme="minorHAnsi" w:hAnsi="Palatino" w:cs="Calibri"/>
          <w:color w:val="000000" w:themeColor="text1"/>
          <w:spacing w:val="-4"/>
          <w:lang w:eastAsia="en-US"/>
        </w:rPr>
        <w:t>Prime « PTC » progressive au fil des travaux et proportionnelle en fonction des ,revenus des ménages.</w:t>
      </w:r>
    </w:p>
    <w:p w14:paraId="15CA88BE" w14:textId="77777777" w:rsidR="00013A4E" w:rsidRPr="00013A4E" w:rsidRDefault="00013A4E" w:rsidP="00013A4E">
      <w:pPr>
        <w:widowControl w:val="0"/>
        <w:suppressAutoHyphens/>
        <w:autoSpaceDE w:val="0"/>
        <w:autoSpaceDN w:val="0"/>
        <w:adjustRightInd w:val="0"/>
        <w:spacing w:before="57" w:line="288" w:lineRule="auto"/>
        <w:ind w:left="-284" w:right="-142"/>
        <w:jc w:val="both"/>
        <w:textAlignment w:val="center"/>
        <w:rPr>
          <w:rFonts w:ascii="Palatino" w:eastAsiaTheme="minorHAnsi" w:hAnsi="Palatino" w:cs="Calibri"/>
          <w:color w:val="000000" w:themeColor="text1"/>
          <w:spacing w:val="-4"/>
          <w:lang w:eastAsia="en-US"/>
        </w:rPr>
      </w:pPr>
      <w:r w:rsidRPr="00013A4E">
        <w:rPr>
          <w:rFonts w:ascii="Palatino" w:eastAsiaTheme="minorHAnsi" w:hAnsi="Palatino" w:cs="Calibri"/>
          <w:color w:val="000000" w:themeColor="text1"/>
          <w:spacing w:val="-4"/>
          <w:lang w:eastAsia="en-US"/>
        </w:rPr>
        <w:t>-</w:t>
      </w:r>
      <w:r w:rsidRPr="00013A4E">
        <w:rPr>
          <w:rFonts w:ascii="Palatino" w:eastAsiaTheme="minorHAnsi" w:hAnsi="Palatino" w:cs="Calibri"/>
          <w:color w:val="000000" w:themeColor="text1"/>
          <w:spacing w:val="-4"/>
          <w:lang w:eastAsia="en-US"/>
        </w:rPr>
        <w:t> </w:t>
      </w:r>
      <w:r w:rsidRPr="00013A4E">
        <w:rPr>
          <w:rFonts w:ascii="Palatino" w:eastAsiaTheme="minorHAnsi" w:hAnsi="Palatino" w:cs="Calibri"/>
          <w:color w:val="000000" w:themeColor="text1"/>
          <w:spacing w:val="-4"/>
          <w:lang w:eastAsia="en-US"/>
        </w:rPr>
        <w:t xml:space="preserve">Soutien de « Mon Accompagnateur </w:t>
      </w:r>
      <w:proofErr w:type="spellStart"/>
      <w:r w:rsidRPr="00013A4E">
        <w:rPr>
          <w:rFonts w:ascii="Palatino" w:eastAsiaTheme="minorHAnsi" w:hAnsi="Palatino" w:cs="Calibri"/>
          <w:color w:val="000000" w:themeColor="text1"/>
          <w:spacing w:val="-4"/>
          <w:lang w:eastAsia="en-US"/>
        </w:rPr>
        <w:t>Rénov</w:t>
      </w:r>
      <w:proofErr w:type="spellEnd"/>
      <w:r w:rsidRPr="00013A4E">
        <w:rPr>
          <w:rFonts w:ascii="Palatino" w:eastAsiaTheme="minorHAnsi" w:hAnsi="Palatino" w:cs="Calibri"/>
          <w:color w:val="000000" w:themeColor="text1"/>
          <w:spacing w:val="-4"/>
          <w:lang w:eastAsia="en-US"/>
        </w:rPr>
        <w:t>’ » pour assurer le suivi et le des travaux jusqu’à la livraison.</w:t>
      </w:r>
    </w:p>
    <w:p w14:paraId="15EC8D9C" w14:textId="2286FC44" w:rsidR="00013A4E" w:rsidRPr="00013A4E" w:rsidRDefault="00013A4E" w:rsidP="00013A4E">
      <w:pPr>
        <w:widowControl w:val="0"/>
        <w:suppressAutoHyphens/>
        <w:autoSpaceDE w:val="0"/>
        <w:autoSpaceDN w:val="0"/>
        <w:adjustRightInd w:val="0"/>
        <w:spacing w:before="227" w:line="288" w:lineRule="auto"/>
        <w:ind w:left="-284" w:right="-142"/>
        <w:jc w:val="both"/>
        <w:textAlignment w:val="center"/>
        <w:rPr>
          <w:rFonts w:ascii="Palatino" w:eastAsiaTheme="minorHAnsi" w:hAnsi="Palatino" w:cs="Calibri-Bold"/>
          <w:b/>
          <w:bCs/>
          <w:color w:val="000000" w:themeColor="text1"/>
          <w:spacing w:val="-4"/>
          <w:lang w:eastAsia="en-US"/>
        </w:rPr>
      </w:pPr>
      <w:r w:rsidRPr="00013A4E">
        <w:rPr>
          <w:rFonts w:ascii="Palatino" w:eastAsiaTheme="minorHAnsi" w:hAnsi="Palatino" w:cs="Calibri-Bold"/>
          <w:b/>
          <w:bCs/>
          <w:color w:val="000000" w:themeColor="text1"/>
          <w:spacing w:val="-4"/>
          <w:lang w:eastAsia="en-US"/>
        </w:rPr>
        <w:t>Mise en œuvre d’un plan de développement et de formation d’une filière « Rénovation Énergétique Performante » associant industriels, applicateurs, opérateurs de formation, Collectivités et l’État garantissant la qualité des travaux et la performance des ouvrages.</w:t>
      </w:r>
    </w:p>
    <w:p w14:paraId="2F015012" w14:textId="2F8881DD" w:rsidR="00013A4E" w:rsidRPr="00013A4E" w:rsidRDefault="00013A4E" w:rsidP="00013A4E">
      <w:pPr>
        <w:widowControl w:val="0"/>
        <w:suppressAutoHyphens/>
        <w:autoSpaceDE w:val="0"/>
        <w:autoSpaceDN w:val="0"/>
        <w:adjustRightInd w:val="0"/>
        <w:spacing w:before="227" w:line="288" w:lineRule="auto"/>
        <w:ind w:left="-284" w:right="-142"/>
        <w:jc w:val="both"/>
        <w:textAlignment w:val="center"/>
        <w:rPr>
          <w:rFonts w:ascii="Palatino" w:eastAsiaTheme="minorHAnsi" w:hAnsi="Palatino" w:cs="Calibri-Bold"/>
          <w:b/>
          <w:bCs/>
          <w:color w:val="000000" w:themeColor="text1"/>
          <w:spacing w:val="-4"/>
          <w:lang w:eastAsia="en-US"/>
        </w:rPr>
      </w:pPr>
      <w:r w:rsidRPr="00013A4E">
        <w:rPr>
          <w:rFonts w:ascii="Palatino" w:eastAsiaTheme="minorHAnsi" w:hAnsi="Palatino" w:cs="Calibri-Bold"/>
          <w:b/>
          <w:bCs/>
          <w:color w:val="000000" w:themeColor="text1"/>
          <w:spacing w:val="-4"/>
          <w:lang w:eastAsia="en-US"/>
        </w:rPr>
        <w:t>Rendre la construction neuve compatible avec la Stratégie Nationale Bas Carbone -, (SNBC) :</w:t>
      </w:r>
    </w:p>
    <w:p w14:paraId="6069976E" w14:textId="77777777" w:rsidR="00013A4E" w:rsidRPr="00013A4E" w:rsidRDefault="00013A4E" w:rsidP="00013A4E">
      <w:pPr>
        <w:widowControl w:val="0"/>
        <w:suppressAutoHyphens/>
        <w:autoSpaceDE w:val="0"/>
        <w:autoSpaceDN w:val="0"/>
        <w:adjustRightInd w:val="0"/>
        <w:spacing w:before="57" w:line="288" w:lineRule="auto"/>
        <w:ind w:left="-284" w:right="-142"/>
        <w:jc w:val="both"/>
        <w:textAlignment w:val="center"/>
        <w:rPr>
          <w:rFonts w:ascii="Palatino" w:eastAsiaTheme="minorHAnsi" w:hAnsi="Palatino" w:cs="Calibri"/>
          <w:color w:val="000000" w:themeColor="text1"/>
          <w:spacing w:val="-4"/>
          <w:lang w:eastAsia="en-US"/>
        </w:rPr>
      </w:pPr>
      <w:r w:rsidRPr="00013A4E">
        <w:rPr>
          <w:rFonts w:ascii="Palatino" w:eastAsiaTheme="minorHAnsi" w:hAnsi="Palatino" w:cs="Calibri"/>
          <w:color w:val="000000" w:themeColor="text1"/>
          <w:spacing w:val="-4"/>
          <w:lang w:eastAsia="en-US"/>
        </w:rPr>
        <w:t>-</w:t>
      </w:r>
      <w:r w:rsidRPr="00013A4E">
        <w:rPr>
          <w:rFonts w:ascii="Palatino" w:eastAsiaTheme="minorHAnsi" w:hAnsi="Palatino" w:cs="Calibri"/>
          <w:color w:val="000000" w:themeColor="text1"/>
          <w:spacing w:val="-4"/>
          <w:lang w:eastAsia="en-US"/>
        </w:rPr>
        <w:t> </w:t>
      </w:r>
      <w:r w:rsidRPr="00013A4E">
        <w:rPr>
          <w:rFonts w:ascii="Palatino" w:eastAsiaTheme="minorHAnsi" w:hAnsi="Palatino" w:cs="Calibri"/>
          <w:color w:val="000000" w:themeColor="text1"/>
          <w:spacing w:val="-4"/>
          <w:lang w:eastAsia="en-US"/>
        </w:rPr>
        <w:t xml:space="preserve">Renforcer les exigences de l’indicateur </w:t>
      </w:r>
      <w:proofErr w:type="spellStart"/>
      <w:r w:rsidRPr="00013A4E">
        <w:rPr>
          <w:rFonts w:ascii="Palatino" w:eastAsiaTheme="minorHAnsi" w:hAnsi="Palatino" w:cs="Calibri"/>
          <w:color w:val="000000" w:themeColor="text1"/>
          <w:spacing w:val="-4"/>
          <w:lang w:eastAsia="en-US"/>
        </w:rPr>
        <w:t>Bbio</w:t>
      </w:r>
      <w:proofErr w:type="spellEnd"/>
      <w:r w:rsidRPr="00013A4E">
        <w:rPr>
          <w:rFonts w:ascii="Palatino" w:eastAsiaTheme="minorHAnsi" w:hAnsi="Palatino" w:cs="Calibri"/>
          <w:color w:val="000000" w:themeColor="text1"/>
          <w:spacing w:val="-4"/>
          <w:lang w:eastAsia="en-US"/>
        </w:rPr>
        <w:t xml:space="preserve"> de 10% à chaque étape de la RE 2020 (2025, 2028 et 2031) pour éviter une stagnation de la performance des bâtiments neufs.</w:t>
      </w:r>
    </w:p>
    <w:p w14:paraId="4DE34F72" w14:textId="77777777" w:rsidR="00013A4E" w:rsidRPr="00013A4E" w:rsidRDefault="00013A4E" w:rsidP="00013A4E">
      <w:pPr>
        <w:widowControl w:val="0"/>
        <w:suppressAutoHyphens/>
        <w:autoSpaceDE w:val="0"/>
        <w:autoSpaceDN w:val="0"/>
        <w:adjustRightInd w:val="0"/>
        <w:spacing w:before="57" w:line="288" w:lineRule="auto"/>
        <w:ind w:left="-284" w:right="-142"/>
        <w:jc w:val="both"/>
        <w:textAlignment w:val="center"/>
        <w:rPr>
          <w:rFonts w:ascii="Palatino" w:eastAsiaTheme="minorHAnsi" w:hAnsi="Palatino" w:cs="Calibri"/>
          <w:color w:val="000000" w:themeColor="text1"/>
          <w:spacing w:val="-4"/>
          <w:lang w:eastAsia="en-US"/>
        </w:rPr>
      </w:pPr>
      <w:r w:rsidRPr="00013A4E">
        <w:rPr>
          <w:rFonts w:ascii="Palatino" w:eastAsiaTheme="minorHAnsi" w:hAnsi="Palatino" w:cs="Calibri"/>
          <w:color w:val="000000" w:themeColor="text1"/>
          <w:spacing w:val="-4"/>
          <w:lang w:eastAsia="en-US"/>
        </w:rPr>
        <w:t>-</w:t>
      </w:r>
      <w:r w:rsidRPr="00013A4E">
        <w:rPr>
          <w:rFonts w:ascii="Palatino" w:eastAsiaTheme="minorHAnsi" w:hAnsi="Palatino" w:cs="Calibri"/>
          <w:color w:val="000000" w:themeColor="text1"/>
          <w:spacing w:val="-4"/>
          <w:lang w:eastAsia="en-US"/>
        </w:rPr>
        <w:t> </w:t>
      </w:r>
      <w:r w:rsidRPr="00013A4E">
        <w:rPr>
          <w:rFonts w:ascii="Palatino" w:eastAsiaTheme="minorHAnsi" w:hAnsi="Palatino" w:cs="Calibri"/>
          <w:color w:val="000000" w:themeColor="text1"/>
          <w:spacing w:val="-4"/>
          <w:lang w:eastAsia="en-US"/>
        </w:rPr>
        <w:t>Renforcer le traitement des ponts thermiques et en faire un objectif de résultat : abaisser le psi de 0,6W/ml-°K à 0,4 W/ml-°K sans attendre</w:t>
      </w:r>
    </w:p>
    <w:p w14:paraId="246BA541" w14:textId="77777777" w:rsidR="00013A4E" w:rsidRPr="00013A4E" w:rsidRDefault="00013A4E" w:rsidP="00013A4E">
      <w:pPr>
        <w:widowControl w:val="0"/>
        <w:suppressAutoHyphens/>
        <w:autoSpaceDE w:val="0"/>
        <w:autoSpaceDN w:val="0"/>
        <w:adjustRightInd w:val="0"/>
        <w:spacing w:before="57" w:line="288" w:lineRule="auto"/>
        <w:ind w:left="-284" w:right="-142"/>
        <w:jc w:val="both"/>
        <w:textAlignment w:val="center"/>
        <w:rPr>
          <w:rFonts w:ascii="Palatino" w:eastAsiaTheme="minorHAnsi" w:hAnsi="Palatino" w:cs="Calibri"/>
          <w:color w:val="000000" w:themeColor="text1"/>
          <w:spacing w:val="-4"/>
          <w:lang w:eastAsia="en-US"/>
        </w:rPr>
      </w:pPr>
      <w:r w:rsidRPr="00013A4E">
        <w:rPr>
          <w:rFonts w:ascii="Palatino" w:eastAsiaTheme="minorHAnsi" w:hAnsi="Palatino" w:cs="Calibri"/>
          <w:color w:val="000000" w:themeColor="text1"/>
          <w:spacing w:val="-4"/>
          <w:lang w:eastAsia="en-US"/>
        </w:rPr>
        <w:t>-</w:t>
      </w:r>
      <w:r w:rsidRPr="00013A4E">
        <w:rPr>
          <w:rFonts w:ascii="Palatino" w:eastAsiaTheme="minorHAnsi" w:hAnsi="Palatino" w:cs="Calibri"/>
          <w:color w:val="000000" w:themeColor="text1"/>
          <w:spacing w:val="-4"/>
          <w:lang w:eastAsia="en-US"/>
        </w:rPr>
        <w:t> </w:t>
      </w:r>
      <w:r w:rsidRPr="00013A4E">
        <w:rPr>
          <w:rFonts w:ascii="Palatino" w:eastAsiaTheme="minorHAnsi" w:hAnsi="Palatino" w:cs="Calibri"/>
          <w:color w:val="000000" w:themeColor="text1"/>
          <w:spacing w:val="-4"/>
          <w:lang w:eastAsia="en-US"/>
        </w:rPr>
        <w:t>Faire évoluer les méthodes de calcul théoriques (RE2020, RT-EX, DPE...) une obligation au plus proche de la réalité des consommations afin de mieux orienter les choix vers la sobriété en chauffage.</w:t>
      </w:r>
    </w:p>
    <w:p w14:paraId="50AF641D" w14:textId="77777777" w:rsidR="00013A4E" w:rsidRPr="00013A4E" w:rsidRDefault="00013A4E" w:rsidP="00013A4E">
      <w:pPr>
        <w:widowControl w:val="0"/>
        <w:suppressAutoHyphens/>
        <w:autoSpaceDE w:val="0"/>
        <w:autoSpaceDN w:val="0"/>
        <w:adjustRightInd w:val="0"/>
        <w:spacing w:before="57" w:line="288" w:lineRule="auto"/>
        <w:ind w:left="-284" w:right="-142"/>
        <w:jc w:val="both"/>
        <w:textAlignment w:val="center"/>
        <w:rPr>
          <w:rFonts w:ascii="Palatino" w:eastAsiaTheme="minorHAnsi" w:hAnsi="Palatino" w:cs="Calibri"/>
          <w:color w:val="000000" w:themeColor="text1"/>
          <w:spacing w:val="-4"/>
          <w:lang w:eastAsia="en-US"/>
        </w:rPr>
      </w:pPr>
      <w:r w:rsidRPr="00013A4E">
        <w:rPr>
          <w:rFonts w:ascii="Palatino" w:eastAsiaTheme="minorHAnsi" w:hAnsi="Palatino" w:cs="Calibri"/>
          <w:color w:val="000000" w:themeColor="text1"/>
          <w:spacing w:val="-4"/>
          <w:lang w:eastAsia="en-US"/>
        </w:rPr>
        <w:t>-</w:t>
      </w:r>
      <w:r w:rsidRPr="00013A4E">
        <w:rPr>
          <w:rFonts w:ascii="Palatino" w:eastAsiaTheme="minorHAnsi" w:hAnsi="Palatino" w:cs="Calibri"/>
          <w:color w:val="000000" w:themeColor="text1"/>
          <w:spacing w:val="-4"/>
          <w:lang w:eastAsia="en-US"/>
        </w:rPr>
        <w:t> </w:t>
      </w:r>
      <w:r w:rsidRPr="00013A4E">
        <w:rPr>
          <w:rFonts w:ascii="Palatino" w:eastAsiaTheme="minorHAnsi" w:hAnsi="Palatino" w:cs="Calibri"/>
          <w:color w:val="000000" w:themeColor="text1"/>
          <w:spacing w:val="-4"/>
          <w:lang w:eastAsia="en-US"/>
        </w:rPr>
        <w:t>Imposer le commissionnement sur la qualité de l’enveloppe dans la réglementation des bâtiments neufs.</w:t>
      </w:r>
    </w:p>
    <w:p w14:paraId="73A07A88" w14:textId="77777777" w:rsidR="00013A4E" w:rsidRDefault="00013A4E" w:rsidP="00013A4E">
      <w:pPr>
        <w:widowControl w:val="0"/>
        <w:suppressAutoHyphens/>
        <w:autoSpaceDE w:val="0"/>
        <w:autoSpaceDN w:val="0"/>
        <w:adjustRightInd w:val="0"/>
        <w:spacing w:before="57" w:line="288" w:lineRule="auto"/>
        <w:ind w:left="-284" w:right="-142"/>
        <w:jc w:val="both"/>
        <w:textAlignment w:val="center"/>
        <w:rPr>
          <w:rFonts w:ascii="Palatino" w:eastAsiaTheme="minorHAnsi" w:hAnsi="Palatino" w:cs="Calibri"/>
          <w:color w:val="000000" w:themeColor="text1"/>
          <w:spacing w:val="-4"/>
          <w:lang w:eastAsia="en-US"/>
        </w:rPr>
      </w:pPr>
      <w:r w:rsidRPr="00013A4E">
        <w:rPr>
          <w:rFonts w:ascii="Palatino" w:eastAsiaTheme="minorHAnsi" w:hAnsi="Palatino" w:cs="Calibri"/>
          <w:color w:val="000000" w:themeColor="text1"/>
          <w:spacing w:val="-4"/>
          <w:lang w:eastAsia="en-US"/>
        </w:rPr>
        <w:t>-</w:t>
      </w:r>
      <w:r w:rsidRPr="00013A4E">
        <w:rPr>
          <w:rFonts w:ascii="Palatino" w:eastAsiaTheme="minorHAnsi" w:hAnsi="Palatino" w:cs="Calibri"/>
          <w:color w:val="000000" w:themeColor="text1"/>
          <w:spacing w:val="-4"/>
          <w:lang w:eastAsia="en-US"/>
        </w:rPr>
        <w:t> </w:t>
      </w:r>
      <w:r w:rsidRPr="00013A4E">
        <w:rPr>
          <w:rFonts w:ascii="Palatino" w:eastAsiaTheme="minorHAnsi" w:hAnsi="Palatino" w:cs="Calibri"/>
          <w:color w:val="000000" w:themeColor="text1"/>
          <w:spacing w:val="-4"/>
          <w:lang w:eastAsia="en-US"/>
        </w:rPr>
        <w:t>Réinstaurer un label pour permettre la mise en œuvre progressive de ces actions et préfigurer la future réglementation.</w:t>
      </w:r>
    </w:p>
    <w:p w14:paraId="5CE0F156" w14:textId="77777777" w:rsidR="00EA2401" w:rsidRDefault="00EA2401" w:rsidP="00013A4E">
      <w:pPr>
        <w:widowControl w:val="0"/>
        <w:suppressAutoHyphens/>
        <w:autoSpaceDE w:val="0"/>
        <w:autoSpaceDN w:val="0"/>
        <w:adjustRightInd w:val="0"/>
        <w:spacing w:before="57" w:line="288" w:lineRule="auto"/>
        <w:ind w:left="-284" w:right="-142"/>
        <w:jc w:val="both"/>
        <w:textAlignment w:val="center"/>
        <w:rPr>
          <w:rFonts w:ascii="Palatino" w:eastAsiaTheme="minorHAnsi" w:hAnsi="Palatino" w:cs="Calibri"/>
          <w:color w:val="000000" w:themeColor="text1"/>
          <w:spacing w:val="-4"/>
          <w:lang w:eastAsia="en-US"/>
        </w:rPr>
      </w:pPr>
    </w:p>
    <w:p w14:paraId="3C974583" w14:textId="77777777" w:rsidR="00EA2401" w:rsidRPr="00013A4E" w:rsidRDefault="00EA2401" w:rsidP="00013A4E">
      <w:pPr>
        <w:widowControl w:val="0"/>
        <w:suppressAutoHyphens/>
        <w:autoSpaceDE w:val="0"/>
        <w:autoSpaceDN w:val="0"/>
        <w:adjustRightInd w:val="0"/>
        <w:spacing w:before="57" w:line="288" w:lineRule="auto"/>
        <w:ind w:left="-284" w:right="-142"/>
        <w:jc w:val="both"/>
        <w:textAlignment w:val="center"/>
        <w:rPr>
          <w:rFonts w:ascii="Palatino" w:eastAsiaTheme="minorHAnsi" w:hAnsi="Palatino" w:cs="Calibri"/>
          <w:color w:val="000000" w:themeColor="text1"/>
          <w:spacing w:val="-4"/>
          <w:lang w:eastAsia="en-US"/>
        </w:rPr>
      </w:pPr>
    </w:p>
    <w:p w14:paraId="4CEAC83D" w14:textId="77777777" w:rsidR="00013A4E" w:rsidRPr="00F92E7A" w:rsidRDefault="00013A4E" w:rsidP="00013A4E">
      <w:pPr>
        <w:autoSpaceDE w:val="0"/>
        <w:autoSpaceDN w:val="0"/>
        <w:adjustRightInd w:val="0"/>
        <w:ind w:left="-284" w:right="-142"/>
        <w:jc w:val="both"/>
        <w:rPr>
          <w:rFonts w:ascii="Palatino" w:hAnsi="Palatino"/>
          <w:color w:val="000000" w:themeColor="text1"/>
        </w:rPr>
      </w:pPr>
    </w:p>
    <w:p w14:paraId="785BBD49" w14:textId="21E69364" w:rsidR="00C61077" w:rsidRPr="00F92E7A" w:rsidRDefault="00C61077" w:rsidP="004D6214">
      <w:pPr>
        <w:autoSpaceDE w:val="0"/>
        <w:autoSpaceDN w:val="0"/>
        <w:adjustRightInd w:val="0"/>
        <w:ind w:left="-284" w:right="-142"/>
        <w:jc w:val="both"/>
        <w:rPr>
          <w:rFonts w:ascii="Palatino" w:hAnsi="Palatino"/>
          <w:color w:val="000000" w:themeColor="text1"/>
        </w:rPr>
      </w:pPr>
    </w:p>
    <w:p w14:paraId="25B12DE2" w14:textId="77777777" w:rsidR="00C61077" w:rsidRPr="00F92E7A" w:rsidRDefault="00C61077" w:rsidP="004D6214">
      <w:pPr>
        <w:autoSpaceDE w:val="0"/>
        <w:autoSpaceDN w:val="0"/>
        <w:adjustRightInd w:val="0"/>
        <w:ind w:left="-284" w:right="-142"/>
        <w:jc w:val="both"/>
        <w:rPr>
          <w:rFonts w:ascii="Palatino" w:hAnsi="Palatino"/>
          <w:color w:val="000000" w:themeColor="text1"/>
        </w:rPr>
      </w:pPr>
    </w:p>
    <w:p w14:paraId="6B36E30A" w14:textId="77777777" w:rsidR="00212772" w:rsidRDefault="00212772" w:rsidP="00212772">
      <w:pPr>
        <w:widowControl w:val="0"/>
        <w:suppressAutoHyphens/>
        <w:autoSpaceDE w:val="0"/>
        <w:autoSpaceDN w:val="0"/>
        <w:adjustRightInd w:val="0"/>
        <w:spacing w:line="288" w:lineRule="auto"/>
        <w:jc w:val="both"/>
        <w:textAlignment w:val="center"/>
        <w:rPr>
          <w:rFonts w:ascii="Palatino" w:eastAsiaTheme="minorHAnsi" w:hAnsi="Palatino" w:cs="Calibri"/>
          <w:color w:val="000000"/>
          <w:sz w:val="18"/>
          <w:szCs w:val="18"/>
          <w:lang w:eastAsia="en-US"/>
        </w:rPr>
      </w:pPr>
      <w:r w:rsidRPr="00212772">
        <w:rPr>
          <w:rFonts w:ascii="Palatino" w:eastAsiaTheme="minorHAnsi" w:hAnsi="Palatino" w:cs="Calibri"/>
          <w:color w:val="000000"/>
          <w:sz w:val="18"/>
          <w:szCs w:val="18"/>
          <w:lang w:eastAsia="en-US"/>
        </w:rPr>
        <w:t>Le Pôle de compétitivité Fibres-</w:t>
      </w:r>
      <w:proofErr w:type="spellStart"/>
      <w:r w:rsidRPr="00212772">
        <w:rPr>
          <w:rFonts w:ascii="Palatino" w:eastAsiaTheme="minorHAnsi" w:hAnsi="Palatino" w:cs="Calibri"/>
          <w:color w:val="000000"/>
          <w:sz w:val="18"/>
          <w:szCs w:val="18"/>
          <w:lang w:eastAsia="en-US"/>
        </w:rPr>
        <w:t>Energivie</w:t>
      </w:r>
      <w:proofErr w:type="spellEnd"/>
      <w:r w:rsidRPr="00212772">
        <w:rPr>
          <w:rFonts w:ascii="Palatino" w:eastAsiaTheme="minorHAnsi" w:hAnsi="Palatino" w:cs="Calibri"/>
          <w:color w:val="000000"/>
          <w:sz w:val="18"/>
          <w:szCs w:val="18"/>
          <w:lang w:eastAsia="en-US"/>
        </w:rPr>
        <w:t xml:space="preserve"> est né en 2015, de la fusion des Pôles Alsace-</w:t>
      </w:r>
      <w:proofErr w:type="spellStart"/>
      <w:r w:rsidRPr="00212772">
        <w:rPr>
          <w:rFonts w:ascii="Palatino" w:eastAsiaTheme="minorHAnsi" w:hAnsi="Palatino" w:cs="Calibri"/>
          <w:color w:val="000000"/>
          <w:sz w:val="18"/>
          <w:szCs w:val="18"/>
          <w:lang w:eastAsia="en-US"/>
        </w:rPr>
        <w:t>Energivie</w:t>
      </w:r>
      <w:proofErr w:type="spellEnd"/>
      <w:r w:rsidRPr="00212772">
        <w:rPr>
          <w:rFonts w:ascii="Palatino" w:eastAsiaTheme="minorHAnsi" w:hAnsi="Palatino" w:cs="Calibri"/>
          <w:color w:val="000000"/>
          <w:sz w:val="18"/>
          <w:szCs w:val="18"/>
          <w:lang w:eastAsia="en-US"/>
        </w:rPr>
        <w:t xml:space="preserve"> et Fibres. Il est le seul pôle de compétitivité dédié au secteur du bâtiment, il fédère tous les acteurs de la chaîne de valeur (des fournisseurs de matériaux aux intégrateurs) : industrie de la chimie, des matériaux, conception des bâtiments, industrie des systèmes constructifs, des équipements énergétiques, métiers de la construction, maintenance des bâtiments et promotion immobilière. Son Groupe de Travail sur la Qualité de l’Enveloppe fédère les entités : Pôle ALEARISQUE, Groupe ROEDERER, Cabinet d’ingénierie CMDL MANASLU, Société SCHÖCK France, Société STO France, Groupement MUR MANTEAU, BE POUGET Consultants, Syndicat National des Bardages et Vêtures Isolées (SNBVI).</w:t>
      </w:r>
    </w:p>
    <w:p w14:paraId="5F48A6E2" w14:textId="77777777" w:rsidR="00C6038D" w:rsidRPr="00212772" w:rsidRDefault="00C6038D" w:rsidP="00212772">
      <w:pPr>
        <w:widowControl w:val="0"/>
        <w:suppressAutoHyphens/>
        <w:autoSpaceDE w:val="0"/>
        <w:autoSpaceDN w:val="0"/>
        <w:adjustRightInd w:val="0"/>
        <w:spacing w:line="288" w:lineRule="auto"/>
        <w:jc w:val="both"/>
        <w:textAlignment w:val="center"/>
        <w:rPr>
          <w:rFonts w:ascii="Palatino" w:eastAsiaTheme="minorHAnsi" w:hAnsi="Palatino" w:cs="Calibri"/>
          <w:color w:val="000000"/>
          <w:sz w:val="18"/>
          <w:szCs w:val="18"/>
          <w:lang w:eastAsia="en-US"/>
        </w:rPr>
      </w:pPr>
      <w:bookmarkStart w:id="0" w:name="_GoBack"/>
      <w:bookmarkEnd w:id="0"/>
    </w:p>
    <w:p w14:paraId="4EFA6B4E" w14:textId="77777777" w:rsidR="00B23528" w:rsidRPr="00F92E7A" w:rsidRDefault="00B23528" w:rsidP="004D6214">
      <w:pPr>
        <w:ind w:left="-284" w:right="-142"/>
        <w:rPr>
          <w:color w:val="000000" w:themeColor="text1"/>
        </w:rPr>
      </w:pPr>
    </w:p>
    <w:p w14:paraId="1704DAA1" w14:textId="77777777" w:rsidR="003B64E6" w:rsidRPr="00F92E7A" w:rsidRDefault="003B64E6" w:rsidP="004D6214">
      <w:pPr>
        <w:ind w:left="-284" w:right="-142"/>
        <w:jc w:val="both"/>
        <w:rPr>
          <w:rFonts w:ascii="Palatino" w:hAnsi="Palatino"/>
          <w:b/>
          <w:color w:val="000000" w:themeColor="text1"/>
        </w:rPr>
      </w:pPr>
      <w:r w:rsidRPr="00F92E7A">
        <w:rPr>
          <w:rFonts w:ascii="Palatino" w:hAnsi="Palatino"/>
          <w:b/>
          <w:color w:val="000000" w:themeColor="text1"/>
        </w:rPr>
        <w:t xml:space="preserve">Pour toute information complémentaire : </w:t>
      </w:r>
    </w:p>
    <w:p w14:paraId="304405AA" w14:textId="77777777" w:rsidR="003B64E6" w:rsidRPr="00F92E7A" w:rsidRDefault="003B64E6" w:rsidP="004D6214">
      <w:pPr>
        <w:ind w:left="-284" w:right="-142"/>
        <w:jc w:val="both"/>
        <w:rPr>
          <w:rFonts w:ascii="Palatino" w:hAnsi="Palatino"/>
          <w:color w:val="000000" w:themeColor="text1"/>
        </w:rPr>
      </w:pPr>
      <w:r w:rsidRPr="00F92E7A">
        <w:rPr>
          <w:rFonts w:ascii="Palatino" w:hAnsi="Palatino"/>
          <w:b/>
          <w:color w:val="000000" w:themeColor="text1"/>
        </w:rPr>
        <w:t>Pôle Fibres-</w:t>
      </w:r>
      <w:proofErr w:type="spellStart"/>
      <w:r w:rsidRPr="00F92E7A">
        <w:rPr>
          <w:rFonts w:ascii="Palatino" w:hAnsi="Palatino"/>
          <w:b/>
          <w:color w:val="000000" w:themeColor="text1"/>
        </w:rPr>
        <w:t>Énergivie</w:t>
      </w:r>
      <w:proofErr w:type="spellEnd"/>
      <w:r w:rsidRPr="00F92E7A">
        <w:rPr>
          <w:rFonts w:ascii="Palatino" w:hAnsi="Palatino"/>
          <w:color w:val="000000" w:themeColor="text1"/>
        </w:rPr>
        <w:t xml:space="preserve"> - 6, rue Oberlin - 67000 Strasbourg </w:t>
      </w:r>
    </w:p>
    <w:p w14:paraId="3C9A26EC" w14:textId="77777777" w:rsidR="003B64E6" w:rsidRPr="00F92E7A" w:rsidRDefault="003B64E6" w:rsidP="004D6214">
      <w:pPr>
        <w:ind w:left="-284" w:right="-142"/>
        <w:jc w:val="both"/>
        <w:rPr>
          <w:rFonts w:ascii="Palatino" w:hAnsi="Palatino"/>
          <w:color w:val="000000" w:themeColor="text1"/>
        </w:rPr>
      </w:pPr>
      <w:r w:rsidRPr="00F92E7A">
        <w:rPr>
          <w:rFonts w:ascii="Palatino" w:hAnsi="Palatino"/>
          <w:color w:val="000000" w:themeColor="text1"/>
        </w:rPr>
        <w:t>Tél. 03 70 29 98 00 - www.fibres-energivie.eu</w:t>
      </w:r>
    </w:p>
    <w:p w14:paraId="00D3EF40" w14:textId="77777777" w:rsidR="003B64E6" w:rsidRPr="00F92E7A" w:rsidRDefault="003B64E6" w:rsidP="004D6214">
      <w:pPr>
        <w:ind w:left="-284" w:right="-142"/>
        <w:jc w:val="both"/>
        <w:rPr>
          <w:rFonts w:ascii="Palatino" w:hAnsi="Palatino"/>
          <w:color w:val="000000" w:themeColor="text1"/>
        </w:rPr>
      </w:pPr>
      <w:r w:rsidRPr="00F92E7A">
        <w:rPr>
          <w:rFonts w:ascii="Palatino" w:hAnsi="Palatino"/>
          <w:color w:val="000000" w:themeColor="text1"/>
        </w:rPr>
        <w:t>Quentin Barbe, Chef de projets Pôle Fibres-</w:t>
      </w:r>
      <w:proofErr w:type="spellStart"/>
      <w:r w:rsidRPr="00F92E7A">
        <w:rPr>
          <w:rFonts w:ascii="Palatino" w:hAnsi="Palatino"/>
          <w:color w:val="000000" w:themeColor="text1"/>
        </w:rPr>
        <w:t>Énergivie</w:t>
      </w:r>
      <w:proofErr w:type="spellEnd"/>
      <w:r w:rsidRPr="00F92E7A">
        <w:rPr>
          <w:rFonts w:ascii="Palatino" w:hAnsi="Palatino"/>
          <w:color w:val="000000" w:themeColor="text1"/>
        </w:rPr>
        <w:t xml:space="preserve"> </w:t>
      </w:r>
    </w:p>
    <w:p w14:paraId="5D8E109D" w14:textId="77777777" w:rsidR="003B64E6" w:rsidRPr="00F92E7A" w:rsidRDefault="003B64E6" w:rsidP="004D6214">
      <w:pPr>
        <w:ind w:left="-284" w:right="-142"/>
        <w:jc w:val="both"/>
        <w:rPr>
          <w:rFonts w:ascii="Palatino" w:hAnsi="Palatino"/>
          <w:color w:val="000000" w:themeColor="text1"/>
        </w:rPr>
      </w:pPr>
      <w:r w:rsidRPr="00F92E7A">
        <w:rPr>
          <w:rFonts w:ascii="Palatino" w:hAnsi="Palatino"/>
          <w:color w:val="000000" w:themeColor="text1"/>
        </w:rPr>
        <w:t>Tél. 03 70 29 98 07 - quentin.barbe@fibres-energivie.eu</w:t>
      </w:r>
    </w:p>
    <w:p w14:paraId="2E2030E0" w14:textId="77777777" w:rsidR="003B64E6" w:rsidRPr="005074D8" w:rsidRDefault="003B64E6" w:rsidP="004D6214">
      <w:pPr>
        <w:ind w:left="-284" w:right="-142"/>
        <w:jc w:val="both"/>
        <w:rPr>
          <w:rFonts w:ascii="Palatino" w:hAnsi="Palatino"/>
        </w:rPr>
      </w:pPr>
    </w:p>
    <w:p w14:paraId="23FFDE83" w14:textId="77777777" w:rsidR="003B64E6" w:rsidRPr="005074D8" w:rsidRDefault="003B64E6" w:rsidP="004D6214">
      <w:pPr>
        <w:ind w:left="-284" w:right="-142"/>
        <w:jc w:val="both"/>
        <w:rPr>
          <w:rFonts w:ascii="Palatino" w:hAnsi="Palatino" w:cs="Lucida Grande"/>
          <w:b/>
        </w:rPr>
      </w:pPr>
      <w:r w:rsidRPr="005074D8">
        <w:rPr>
          <w:rFonts w:ascii="Palatino" w:hAnsi="Palatino"/>
          <w:b/>
        </w:rPr>
        <w:t>Contact Presse</w:t>
      </w:r>
      <w:r w:rsidRPr="005074D8">
        <w:rPr>
          <w:rFonts w:ascii="Palatino" w:hAnsi="Palatino" w:cs="Lucida Grande"/>
          <w:b/>
        </w:rPr>
        <w:t> </w:t>
      </w:r>
      <w:r w:rsidRPr="005074D8">
        <w:rPr>
          <w:rFonts w:ascii="Palatino" w:hAnsi="Palatino"/>
          <w:b/>
        </w:rPr>
        <w:t>:</w:t>
      </w:r>
      <w:r w:rsidRPr="005074D8">
        <w:rPr>
          <w:rFonts w:ascii="Palatino" w:hAnsi="Palatino" w:cs="Lucida Grande"/>
          <w:b/>
        </w:rPr>
        <w:t> </w:t>
      </w:r>
    </w:p>
    <w:p w14:paraId="2A0818F7" w14:textId="77777777" w:rsidR="003B64E6" w:rsidRPr="005074D8" w:rsidRDefault="003B64E6" w:rsidP="004D6214">
      <w:pPr>
        <w:ind w:left="-284" w:right="-142"/>
        <w:jc w:val="both"/>
        <w:rPr>
          <w:rFonts w:ascii="Palatino" w:hAnsi="Palatino"/>
        </w:rPr>
      </w:pPr>
      <w:r w:rsidRPr="005074D8">
        <w:rPr>
          <w:rFonts w:ascii="Palatino" w:hAnsi="Palatino"/>
          <w:b/>
        </w:rPr>
        <w:t>Schilling Communication</w:t>
      </w:r>
      <w:r w:rsidRPr="005074D8">
        <w:rPr>
          <w:rFonts w:ascii="Palatino" w:hAnsi="Palatino"/>
        </w:rPr>
        <w:t xml:space="preserve"> - 11, boulevard du Commandant Charcot -17440 Aytré</w:t>
      </w:r>
    </w:p>
    <w:p w14:paraId="13B27940" w14:textId="77777777" w:rsidR="003B64E6" w:rsidRPr="005074D8" w:rsidRDefault="003B64E6" w:rsidP="004D6214">
      <w:pPr>
        <w:ind w:left="-284" w:right="-142"/>
        <w:jc w:val="both"/>
        <w:rPr>
          <w:rFonts w:ascii="Palatino" w:hAnsi="Palatino"/>
        </w:rPr>
      </w:pPr>
      <w:r w:rsidRPr="005074D8">
        <w:rPr>
          <w:rFonts w:ascii="Palatino" w:hAnsi="Palatino"/>
        </w:rPr>
        <w:t xml:space="preserve">Tél. 05 46 50 15 15 - Fax 05 46 50 15 19 - </w:t>
      </w:r>
      <w:hyperlink r:id="rId6" w:history="1">
        <w:r w:rsidRPr="005074D8">
          <w:rPr>
            <w:rStyle w:val="Lienhypertexte"/>
            <w:rFonts w:ascii="Palatino" w:hAnsi="Palatino"/>
          </w:rPr>
          <w:t>agence.schilling@n-schilling.com</w:t>
        </w:r>
      </w:hyperlink>
      <w:r w:rsidRPr="005074D8">
        <w:rPr>
          <w:rFonts w:ascii="Palatino" w:hAnsi="Palatino"/>
        </w:rPr>
        <w:t xml:space="preserve"> </w:t>
      </w:r>
    </w:p>
    <w:p w14:paraId="40E24499" w14:textId="77777777" w:rsidR="003B64E6" w:rsidRPr="005074D8" w:rsidRDefault="003B64E6" w:rsidP="004D6214">
      <w:pPr>
        <w:ind w:left="-284" w:right="-142"/>
        <w:jc w:val="both"/>
        <w:rPr>
          <w:rFonts w:ascii="Palatino" w:hAnsi="Palatino"/>
        </w:rPr>
      </w:pPr>
      <w:r w:rsidRPr="005074D8">
        <w:rPr>
          <w:rFonts w:ascii="Palatino" w:hAnsi="Palatino"/>
        </w:rPr>
        <w:t>www.n-schilling.com</w:t>
      </w:r>
    </w:p>
    <w:p w14:paraId="436E6BD6" w14:textId="77777777" w:rsidR="003B64E6" w:rsidRPr="005074D8" w:rsidRDefault="003B64E6" w:rsidP="004D6214">
      <w:pPr>
        <w:ind w:left="-284" w:right="-142"/>
        <w:jc w:val="both"/>
        <w:rPr>
          <w:rFonts w:ascii="Palatino" w:hAnsi="Palatino"/>
        </w:rPr>
      </w:pPr>
      <w:r w:rsidRPr="005074D8">
        <w:rPr>
          <w:rFonts w:ascii="Palatino" w:hAnsi="Palatino"/>
        </w:rPr>
        <w:t>@AgenceSchilling</w:t>
      </w:r>
    </w:p>
    <w:p w14:paraId="7E2BCACD" w14:textId="77777777" w:rsidR="003B64E6" w:rsidRPr="005074D8" w:rsidRDefault="00500130" w:rsidP="004D6214">
      <w:pPr>
        <w:ind w:left="-284" w:right="-142"/>
        <w:jc w:val="both"/>
        <w:rPr>
          <w:rFonts w:ascii="Palatino" w:hAnsi="Palatino"/>
        </w:rPr>
      </w:pPr>
      <w:hyperlink r:id="rId7" w:history="1">
        <w:r w:rsidR="003B64E6" w:rsidRPr="005074D8">
          <w:rPr>
            <w:rStyle w:val="Lienhypertexte"/>
            <w:rFonts w:ascii="Palatino" w:hAnsi="Palatino"/>
          </w:rPr>
          <w:t>www.facebook.com/agenceschilling</w:t>
        </w:r>
      </w:hyperlink>
      <w:r w:rsidR="003B64E6" w:rsidRPr="005074D8">
        <w:rPr>
          <w:rFonts w:ascii="Palatino" w:hAnsi="Palatino"/>
        </w:rPr>
        <w:t xml:space="preserve"> </w:t>
      </w:r>
    </w:p>
    <w:p w14:paraId="7DF1A1D0" w14:textId="71102769" w:rsidR="00B23528" w:rsidRDefault="003B64E6" w:rsidP="004D6214">
      <w:pPr>
        <w:ind w:left="-284" w:right="-142"/>
      </w:pPr>
      <w:r w:rsidRPr="005074D8">
        <w:rPr>
          <w:rFonts w:ascii="Palatino" w:hAnsi="Palatino"/>
        </w:rPr>
        <w:t>www.linkedin.com/in/agenceschilling</w:t>
      </w:r>
    </w:p>
    <w:sectPr w:rsidR="00B23528" w:rsidSect="007F3035">
      <w:pgSz w:w="11906" w:h="16838"/>
      <w:pgMar w:top="325" w:right="1417" w:bottom="37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游明朝">
    <w:panose1 w:val="00000000000000000000"/>
    <w:charset w:val="80"/>
    <w:family w:val="roman"/>
    <w:notTrueType/>
    <w:pitch w:val="default"/>
  </w:font>
  <w:font w:name="Calibri Light">
    <w:altName w:val="Tahoma"/>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Calibri-Bold">
    <w:altName w:val="Calibri Bold"/>
    <w:panose1 w:val="00000000000000000000"/>
    <w:charset w:val="4D"/>
    <w:family w:val="auto"/>
    <w:notTrueType/>
    <w:pitch w:val="default"/>
    <w:sig w:usb0="00000003" w:usb1="00000000" w:usb2="00000000" w:usb3="00000000" w:csb0="00000001" w:csb1="00000000"/>
  </w:font>
  <w:font w:name="Calibri-Italic">
    <w:altName w:val="Calibri Italic"/>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F7BB8"/>
    <w:multiLevelType w:val="hybridMultilevel"/>
    <w:tmpl w:val="15BC1948"/>
    <w:lvl w:ilvl="0" w:tplc="7F705AC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9E3"/>
    <w:rsid w:val="00013A4E"/>
    <w:rsid w:val="00027642"/>
    <w:rsid w:val="00027E4F"/>
    <w:rsid w:val="000537E5"/>
    <w:rsid w:val="000664C9"/>
    <w:rsid w:val="000B1292"/>
    <w:rsid w:val="000D2CD7"/>
    <w:rsid w:val="001120E5"/>
    <w:rsid w:val="00115BEF"/>
    <w:rsid w:val="00195F7E"/>
    <w:rsid w:val="00212772"/>
    <w:rsid w:val="002475D8"/>
    <w:rsid w:val="0027131E"/>
    <w:rsid w:val="0027167A"/>
    <w:rsid w:val="00286B6D"/>
    <w:rsid w:val="002C0CEE"/>
    <w:rsid w:val="00310702"/>
    <w:rsid w:val="00312297"/>
    <w:rsid w:val="00320301"/>
    <w:rsid w:val="0038048E"/>
    <w:rsid w:val="003B64E6"/>
    <w:rsid w:val="003C7D87"/>
    <w:rsid w:val="00404569"/>
    <w:rsid w:val="004137C1"/>
    <w:rsid w:val="00484E0F"/>
    <w:rsid w:val="004956D2"/>
    <w:rsid w:val="004D6214"/>
    <w:rsid w:val="00500130"/>
    <w:rsid w:val="00502FE2"/>
    <w:rsid w:val="0051412B"/>
    <w:rsid w:val="00553133"/>
    <w:rsid w:val="005C4736"/>
    <w:rsid w:val="005C6E96"/>
    <w:rsid w:val="00654E5C"/>
    <w:rsid w:val="006C64FC"/>
    <w:rsid w:val="006D49E3"/>
    <w:rsid w:val="006E24F0"/>
    <w:rsid w:val="006F66B5"/>
    <w:rsid w:val="007B166E"/>
    <w:rsid w:val="007F3035"/>
    <w:rsid w:val="0083217D"/>
    <w:rsid w:val="00834B54"/>
    <w:rsid w:val="00842C0E"/>
    <w:rsid w:val="00853A9D"/>
    <w:rsid w:val="008B36B0"/>
    <w:rsid w:val="008B50C1"/>
    <w:rsid w:val="009220CC"/>
    <w:rsid w:val="00923108"/>
    <w:rsid w:val="00923C2C"/>
    <w:rsid w:val="00944A75"/>
    <w:rsid w:val="009553AA"/>
    <w:rsid w:val="00993646"/>
    <w:rsid w:val="009A2BFF"/>
    <w:rsid w:val="00B23528"/>
    <w:rsid w:val="00B41C0B"/>
    <w:rsid w:val="00B432DE"/>
    <w:rsid w:val="00BB6216"/>
    <w:rsid w:val="00BB6EC3"/>
    <w:rsid w:val="00BB72A5"/>
    <w:rsid w:val="00C26256"/>
    <w:rsid w:val="00C6038D"/>
    <w:rsid w:val="00C61077"/>
    <w:rsid w:val="00CB1E66"/>
    <w:rsid w:val="00D344CE"/>
    <w:rsid w:val="00D957C0"/>
    <w:rsid w:val="00DD690B"/>
    <w:rsid w:val="00E1595B"/>
    <w:rsid w:val="00E170E3"/>
    <w:rsid w:val="00EA2401"/>
    <w:rsid w:val="00EA41FE"/>
    <w:rsid w:val="00EB28F0"/>
    <w:rsid w:val="00F145AF"/>
    <w:rsid w:val="00F57B4F"/>
    <w:rsid w:val="00F842B4"/>
    <w:rsid w:val="00F92E7A"/>
    <w:rsid w:val="00FA0B5E"/>
    <w:rsid w:val="00FF0ABF"/>
    <w:rsid w:val="00FF3A1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A8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9E3"/>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23528"/>
    <w:rPr>
      <w:sz w:val="22"/>
      <w:szCs w:val="22"/>
    </w:rPr>
  </w:style>
  <w:style w:type="character" w:styleId="Lienhypertexte">
    <w:name w:val="Hyperlink"/>
    <w:basedOn w:val="Policepardfaut"/>
    <w:uiPriority w:val="99"/>
    <w:unhideWhenUsed/>
    <w:rsid w:val="00B23528"/>
    <w:rPr>
      <w:color w:val="0000FF"/>
      <w:u w:val="single"/>
    </w:rPr>
  </w:style>
  <w:style w:type="table" w:styleId="Grille">
    <w:name w:val="Table Grid"/>
    <w:basedOn w:val="TableauNormal"/>
    <w:uiPriority w:val="39"/>
    <w:rsid w:val="00B2352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1412B"/>
    <w:pPr>
      <w:ind w:left="720"/>
      <w:contextualSpacing/>
    </w:pPr>
  </w:style>
  <w:style w:type="paragraph" w:customStyle="1" w:styleId="Default">
    <w:name w:val="Default"/>
    <w:rsid w:val="00993646"/>
    <w:pPr>
      <w:autoSpaceDE w:val="0"/>
      <w:autoSpaceDN w:val="0"/>
      <w:adjustRightInd w:val="0"/>
    </w:pPr>
    <w:rPr>
      <w:rFonts w:ascii="Calibri Light" w:hAnsi="Calibri Light" w:cs="Calibri Light"/>
      <w:color w:val="000000"/>
    </w:rPr>
  </w:style>
  <w:style w:type="character" w:styleId="Marquedannotation">
    <w:name w:val="annotation reference"/>
    <w:basedOn w:val="Policepardfaut"/>
    <w:uiPriority w:val="99"/>
    <w:semiHidden/>
    <w:unhideWhenUsed/>
    <w:rsid w:val="0027131E"/>
    <w:rPr>
      <w:sz w:val="16"/>
      <w:szCs w:val="16"/>
    </w:rPr>
  </w:style>
  <w:style w:type="paragraph" w:styleId="Commentaire">
    <w:name w:val="annotation text"/>
    <w:basedOn w:val="Normal"/>
    <w:link w:val="CommentaireCar"/>
    <w:uiPriority w:val="99"/>
    <w:unhideWhenUsed/>
    <w:rsid w:val="0027131E"/>
    <w:rPr>
      <w:sz w:val="20"/>
      <w:szCs w:val="20"/>
    </w:rPr>
  </w:style>
  <w:style w:type="character" w:customStyle="1" w:styleId="CommentaireCar">
    <w:name w:val="Commentaire Car"/>
    <w:basedOn w:val="Policepardfaut"/>
    <w:link w:val="Commentaire"/>
    <w:uiPriority w:val="99"/>
    <w:rsid w:val="0027131E"/>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27131E"/>
    <w:rPr>
      <w:b/>
      <w:bCs/>
    </w:rPr>
  </w:style>
  <w:style w:type="character" w:customStyle="1" w:styleId="ObjetducommentaireCar">
    <w:name w:val="Objet du commentaire Car"/>
    <w:basedOn w:val="CommentaireCar"/>
    <w:link w:val="Objetducommentaire"/>
    <w:uiPriority w:val="99"/>
    <w:semiHidden/>
    <w:rsid w:val="0027131E"/>
    <w:rPr>
      <w:rFonts w:eastAsiaTheme="minorEastAsia"/>
      <w:b/>
      <w:bCs/>
      <w:sz w:val="20"/>
      <w:szCs w:val="20"/>
      <w:lang w:eastAsia="fr-FR"/>
    </w:rPr>
  </w:style>
  <w:style w:type="paragraph" w:customStyle="1" w:styleId="Paragraphestandard">
    <w:name w:val="[Paragraphe standard]"/>
    <w:basedOn w:val="Normal"/>
    <w:uiPriority w:val="99"/>
    <w:rsid w:val="00F92E7A"/>
    <w:pPr>
      <w:widowControl w:val="0"/>
      <w:autoSpaceDE w:val="0"/>
      <w:autoSpaceDN w:val="0"/>
      <w:adjustRightInd w:val="0"/>
      <w:spacing w:line="288" w:lineRule="auto"/>
      <w:textAlignment w:val="center"/>
    </w:pPr>
    <w:rPr>
      <w:rFonts w:ascii="MinionPro-Regular" w:eastAsiaTheme="minorHAnsi" w:hAnsi="MinionPro-Regular" w:cs="MinionPro-Regular"/>
      <w:color w:val="00000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9E3"/>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23528"/>
    <w:rPr>
      <w:sz w:val="22"/>
      <w:szCs w:val="22"/>
    </w:rPr>
  </w:style>
  <w:style w:type="character" w:styleId="Lienhypertexte">
    <w:name w:val="Hyperlink"/>
    <w:basedOn w:val="Policepardfaut"/>
    <w:uiPriority w:val="99"/>
    <w:unhideWhenUsed/>
    <w:rsid w:val="00B23528"/>
    <w:rPr>
      <w:color w:val="0000FF"/>
      <w:u w:val="single"/>
    </w:rPr>
  </w:style>
  <w:style w:type="table" w:styleId="Grille">
    <w:name w:val="Table Grid"/>
    <w:basedOn w:val="TableauNormal"/>
    <w:uiPriority w:val="39"/>
    <w:rsid w:val="00B2352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1412B"/>
    <w:pPr>
      <w:ind w:left="720"/>
      <w:contextualSpacing/>
    </w:pPr>
  </w:style>
  <w:style w:type="paragraph" w:customStyle="1" w:styleId="Default">
    <w:name w:val="Default"/>
    <w:rsid w:val="00993646"/>
    <w:pPr>
      <w:autoSpaceDE w:val="0"/>
      <w:autoSpaceDN w:val="0"/>
      <w:adjustRightInd w:val="0"/>
    </w:pPr>
    <w:rPr>
      <w:rFonts w:ascii="Calibri Light" w:hAnsi="Calibri Light" w:cs="Calibri Light"/>
      <w:color w:val="000000"/>
    </w:rPr>
  </w:style>
  <w:style w:type="character" w:styleId="Marquedannotation">
    <w:name w:val="annotation reference"/>
    <w:basedOn w:val="Policepardfaut"/>
    <w:uiPriority w:val="99"/>
    <w:semiHidden/>
    <w:unhideWhenUsed/>
    <w:rsid w:val="0027131E"/>
    <w:rPr>
      <w:sz w:val="16"/>
      <w:szCs w:val="16"/>
    </w:rPr>
  </w:style>
  <w:style w:type="paragraph" w:styleId="Commentaire">
    <w:name w:val="annotation text"/>
    <w:basedOn w:val="Normal"/>
    <w:link w:val="CommentaireCar"/>
    <w:uiPriority w:val="99"/>
    <w:unhideWhenUsed/>
    <w:rsid w:val="0027131E"/>
    <w:rPr>
      <w:sz w:val="20"/>
      <w:szCs w:val="20"/>
    </w:rPr>
  </w:style>
  <w:style w:type="character" w:customStyle="1" w:styleId="CommentaireCar">
    <w:name w:val="Commentaire Car"/>
    <w:basedOn w:val="Policepardfaut"/>
    <w:link w:val="Commentaire"/>
    <w:uiPriority w:val="99"/>
    <w:rsid w:val="0027131E"/>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27131E"/>
    <w:rPr>
      <w:b/>
      <w:bCs/>
    </w:rPr>
  </w:style>
  <w:style w:type="character" w:customStyle="1" w:styleId="ObjetducommentaireCar">
    <w:name w:val="Objet du commentaire Car"/>
    <w:basedOn w:val="CommentaireCar"/>
    <w:link w:val="Objetducommentaire"/>
    <w:uiPriority w:val="99"/>
    <w:semiHidden/>
    <w:rsid w:val="0027131E"/>
    <w:rPr>
      <w:rFonts w:eastAsiaTheme="minorEastAsia"/>
      <w:b/>
      <w:bCs/>
      <w:sz w:val="20"/>
      <w:szCs w:val="20"/>
      <w:lang w:eastAsia="fr-FR"/>
    </w:rPr>
  </w:style>
  <w:style w:type="paragraph" w:customStyle="1" w:styleId="Paragraphestandard">
    <w:name w:val="[Paragraphe standard]"/>
    <w:basedOn w:val="Normal"/>
    <w:uiPriority w:val="99"/>
    <w:rsid w:val="00F92E7A"/>
    <w:pPr>
      <w:widowControl w:val="0"/>
      <w:autoSpaceDE w:val="0"/>
      <w:autoSpaceDN w:val="0"/>
      <w:adjustRightInd w:val="0"/>
      <w:spacing w:line="288" w:lineRule="auto"/>
      <w:textAlignment w:val="center"/>
    </w:pPr>
    <w:rPr>
      <w:rFonts w:ascii="MinionPro-Regular" w:eastAsiaTheme="minorHAnsi" w:hAnsi="MinionPro-Regular" w:cs="MinionPro-Regular"/>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3336">
      <w:bodyDiv w:val="1"/>
      <w:marLeft w:val="0"/>
      <w:marRight w:val="0"/>
      <w:marTop w:val="0"/>
      <w:marBottom w:val="0"/>
      <w:divBdr>
        <w:top w:val="none" w:sz="0" w:space="0" w:color="auto"/>
        <w:left w:val="none" w:sz="0" w:space="0" w:color="auto"/>
        <w:bottom w:val="none" w:sz="0" w:space="0" w:color="auto"/>
        <w:right w:val="none" w:sz="0" w:space="0" w:color="auto"/>
      </w:divBdr>
    </w:div>
    <w:div w:id="977535425">
      <w:bodyDiv w:val="1"/>
      <w:marLeft w:val="0"/>
      <w:marRight w:val="0"/>
      <w:marTop w:val="0"/>
      <w:marBottom w:val="0"/>
      <w:divBdr>
        <w:top w:val="none" w:sz="0" w:space="0" w:color="auto"/>
        <w:left w:val="none" w:sz="0" w:space="0" w:color="auto"/>
        <w:bottom w:val="none" w:sz="0" w:space="0" w:color="auto"/>
        <w:right w:val="none" w:sz="0" w:space="0" w:color="auto"/>
      </w:divBdr>
    </w:div>
    <w:div w:id="1339387571">
      <w:bodyDiv w:val="1"/>
      <w:marLeft w:val="0"/>
      <w:marRight w:val="0"/>
      <w:marTop w:val="0"/>
      <w:marBottom w:val="0"/>
      <w:divBdr>
        <w:top w:val="none" w:sz="0" w:space="0" w:color="auto"/>
        <w:left w:val="none" w:sz="0" w:space="0" w:color="auto"/>
        <w:bottom w:val="none" w:sz="0" w:space="0" w:color="auto"/>
        <w:right w:val="none" w:sz="0" w:space="0" w:color="auto"/>
      </w:divBdr>
    </w:div>
    <w:div w:id="17886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gence.schilling@n-schilling.com" TargetMode="External"/><Relationship Id="rId7" Type="http://schemas.openxmlformats.org/officeDocument/2006/relationships/hyperlink" Target="http://www.facebook.com/agenceschillin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1742</Words>
  <Characters>9585</Characters>
  <Application>Microsoft Macintosh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29</cp:revision>
  <dcterms:created xsi:type="dcterms:W3CDTF">2023-01-30T16:13:00Z</dcterms:created>
  <dcterms:modified xsi:type="dcterms:W3CDTF">2023-02-27T12:00:00Z</dcterms:modified>
</cp:coreProperties>
</file>